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7040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01B7024C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00C18222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64DFD62E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7A2881DE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7F0B2CB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ABF471D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47180D4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1338CF" w:rsidRPr="00504025" w14:paraId="0955E125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1AAA0E12" w14:textId="4B70C4B4" w:rsidR="001338CF" w:rsidRPr="00504025" w:rsidRDefault="001338CF" w:rsidP="001338C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GSI0003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="002A32F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8EA9977" w14:textId="77777777" w:rsidR="001338CF" w:rsidRPr="0041438F" w:rsidRDefault="001338CF" w:rsidP="001338C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B0E2FCE" w14:textId="77777777" w:rsidR="001338CF" w:rsidRPr="0041438F" w:rsidRDefault="001338CF" w:rsidP="001338C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5A4CAB31" w14:textId="61A8B47D" w:rsidR="001338CF" w:rsidRPr="0041438F" w:rsidRDefault="001338CF" w:rsidP="001338C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A506595" w14:textId="274946EF" w:rsidR="001338CF" w:rsidRPr="0041438F" w:rsidRDefault="00982C3C" w:rsidP="001338C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18</w:t>
            </w:r>
            <w:r w:rsidR="001338CF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/0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7</w:t>
            </w:r>
            <w:r w:rsidR="001338CF"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</w:t>
            </w:r>
          </w:p>
        </w:tc>
      </w:tr>
      <w:tr w:rsidR="00E8012E" w:rsidRPr="00504025" w14:paraId="40DFB46C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3EAAFE04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Porcentaje de cubrimiento del presupuesto con recursos de la nación para gastos de funcionamiento</w:t>
            </w:r>
          </w:p>
        </w:tc>
      </w:tr>
      <w:tr w:rsidR="00E8012E" w:rsidRPr="00504025" w14:paraId="275D84DF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61196C53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Hace referencia a los recursos que transfiere la Nación en cada vigencia para el financiar el presupuesto de gastos de funcionamiento</w:t>
            </w:r>
          </w:p>
        </w:tc>
      </w:tr>
      <w:tr w:rsidR="00E8012E" w:rsidRPr="00504025" w14:paraId="429112F2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9BF14E3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y sostenibilidad Institucional</w:t>
            </w:r>
          </w:p>
        </w:tc>
      </w:tr>
      <w:tr w:rsidR="00E8012E" w:rsidRPr="00504025" w14:paraId="0FEB4689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2909685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297247" w:rsidRPr="0010409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Fortalecer la sostenibilidad institucional a través de la gestión y la conservación de los recursos financieros, así como por el desarrollo humano y organizacional, que soporten el funcionamiento y la operación de la Institución.</w:t>
            </w:r>
          </w:p>
        </w:tc>
      </w:tr>
      <w:tr w:rsidR="00E8012E" w:rsidRPr="00504025" w14:paraId="211B5105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4FFD9D8E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1CFD22EE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F923BBC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380A6B6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14:paraId="02C6E234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22E0969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631BE4E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2D5E98DE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09548C01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2FFFF486" w14:textId="20F912A9" w:rsidR="00E8012E" w:rsidRPr="00092A4C" w:rsidRDefault="00E8012E" w:rsidP="00092A4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092A4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Proceso del Sistema Integral de Gestión: </w:t>
            </w:r>
            <w:r w:rsidR="00A74C7F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Institucional</w:t>
            </w:r>
          </w:p>
        </w:tc>
      </w:tr>
      <w:tr w:rsidR="00E8012E" w:rsidRPr="00504025" w14:paraId="132D19CD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0B8BB53E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09B4CBD1" w14:textId="77777777" w:rsidR="00092A4C" w:rsidRDefault="00092A4C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77FBBE8E" w14:textId="77777777" w:rsidR="00092A4C" w:rsidRPr="00787881" w:rsidRDefault="00092A4C" w:rsidP="00092A4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29724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12: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RECURSOS FINANCIEROS</w:t>
            </w:r>
          </w:p>
          <w:p w14:paraId="0FCA3F2E" w14:textId="77777777" w:rsidR="00092A4C" w:rsidRPr="00297247" w:rsidRDefault="00297247" w:rsidP="00297247">
            <w:pPr>
              <w:spacing w:line="0" w:lineRule="atLeast"/>
              <w:ind w:left="351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9724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30.</w:t>
            </w:r>
            <w:r w:rsidRPr="0029724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092A4C" w:rsidRPr="00297247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Recursos, presupuesto y gestión financiera</w:t>
            </w:r>
          </w:p>
          <w:p w14:paraId="5CE68946" w14:textId="77777777" w:rsidR="0048439D" w:rsidRPr="00297247" w:rsidRDefault="00092A4C" w:rsidP="00297247">
            <w:pPr>
              <w:spacing w:line="0" w:lineRule="atLeast"/>
              <w:ind w:left="776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29724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A: </w:t>
            </w:r>
            <w:r w:rsidRPr="00297247">
              <w:rPr>
                <w:rFonts w:asciiTheme="minorHAnsi" w:hAnsiTheme="minorHAnsi" w:cs="Arial"/>
                <w:sz w:val="20"/>
                <w:szCs w:val="20"/>
                <w:lang w:val="es-CO"/>
              </w:rPr>
              <w:t>Información acerca de las fuentes de financiamiento, los recursos provenientes del Estado, otras fuentes externas y recursos propios.</w:t>
            </w:r>
          </w:p>
        </w:tc>
      </w:tr>
      <w:tr w:rsidR="00E8012E" w:rsidRPr="00504025" w14:paraId="44CEA9C7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44437902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6B8609A8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44B60196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102D5A42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36EC62EE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259C0CD8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6EA57FC6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5E23CFCE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1EE7FBDD" w14:textId="77777777" w:rsidR="00E8012E" w:rsidRPr="00504025" w:rsidRDefault="00E178F2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1567A918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556ACD10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75409A4" w14:textId="77777777" w:rsidR="00A01DCB" w:rsidRPr="00EA4EAB" w:rsidRDefault="00E8012E" w:rsidP="00A01DC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7E02A3F4" w14:textId="77777777" w:rsidR="00A01DCB" w:rsidRDefault="00A01DCB" w:rsidP="00A01DC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A4EAB">
              <w:rPr>
                <w:rFonts w:asciiTheme="minorHAnsi" w:hAnsiTheme="minorHAnsi" w:cs="Arial"/>
                <w:sz w:val="20"/>
                <w:szCs w:val="20"/>
                <w:lang w:val="es-CO"/>
              </w:rPr>
              <w:t>Informe de ejecución presupuestal de gastos – Aplicativo PCT Consultas</w:t>
            </w:r>
          </w:p>
          <w:p w14:paraId="4658BD81" w14:textId="77777777" w:rsidR="00A01DCB" w:rsidRPr="00504025" w:rsidRDefault="00A01DCB" w:rsidP="00A01DC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informe presupuestal de gastos para indicadores cierre de vigencia – Gestión de presupuesto.</w:t>
            </w:r>
          </w:p>
        </w:tc>
      </w:tr>
      <w:tr w:rsidR="00E8012E" w:rsidRPr="00504025" w14:paraId="103510B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D49B86C" w14:textId="77777777" w:rsidR="00E8012E" w:rsidRPr="00504025" w:rsidRDefault="00E8012E" w:rsidP="008E4F1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Financiera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5CA33E1F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ECF9565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Financiera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7D9323D1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10D21319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66335775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lastRenderedPageBreak/>
        <w:t>Glosario</w:t>
      </w:r>
    </w:p>
    <w:p w14:paraId="5AAF183E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0D92BD5E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0A41DC37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1BA9EDB8" w14:textId="77777777" w:rsidR="00E8012E" w:rsidRDefault="005B3A97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B3A9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Recursos Nación:</w:t>
            </w:r>
            <w:r w:rsidRPr="005B3A9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Son los recursos que transfiere la Nación a la Universidad para funcionamiento e inversión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 acuerdo con lo establecido en la Ley 30 articulo 86.</w:t>
            </w:r>
          </w:p>
          <w:p w14:paraId="6111671C" w14:textId="77777777" w:rsidR="009034FA" w:rsidRDefault="009034FA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3AD9102" w14:textId="22384894" w:rsidR="009034FA" w:rsidRDefault="009034FA" w:rsidP="009034F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Funcionamiento</w:t>
            </w:r>
            <w:r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Actividades misionales, administrativas, técnicas y operativas que se requieren para el funcionamiento de la Universidad Tecnológica de Pereira y que están clasificados en gastos de personal, </w:t>
            </w:r>
            <w:r w:rsidR="00DE2782" w:rsidRPr="00DE2782">
              <w:rPr>
                <w:rFonts w:asciiTheme="minorHAnsi" w:hAnsiTheme="minorHAnsi"/>
                <w:sz w:val="20"/>
                <w:szCs w:val="20"/>
                <w:lang w:val="es-CO"/>
              </w:rPr>
              <w:t>Adquisición de bienes y servicios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, </w:t>
            </w:r>
            <w:r w:rsidR="00DE2782" w:rsidRPr="00DE2782">
              <w:rPr>
                <w:rFonts w:asciiTheme="minorHAnsi" w:hAnsiTheme="minorHAnsi"/>
                <w:sz w:val="20"/>
                <w:szCs w:val="20"/>
                <w:lang w:val="es-CO"/>
              </w:rPr>
              <w:t>Transferencias corrientes</w:t>
            </w:r>
            <w:r w:rsidR="00DE2782">
              <w:rPr>
                <w:rFonts w:asciiTheme="minorHAnsi" w:hAnsiTheme="minorHAnsi"/>
                <w:sz w:val="20"/>
                <w:szCs w:val="20"/>
                <w:lang w:val="es-CO"/>
              </w:rPr>
              <w:t>, Gastos de comercialización y producción, Disminución de pasivos, Gastos por tributos, tasas, contribuciones, multas, sanciones e intereses de mora.</w:t>
            </w:r>
          </w:p>
          <w:p w14:paraId="64A0F2E2" w14:textId="77777777" w:rsidR="00E8012E" w:rsidRPr="00504025" w:rsidRDefault="00E8012E" w:rsidP="009034F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1777CE3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FFF0414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254C5786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59"/>
      </w:tblGrid>
      <w:tr w:rsidR="00E8012E" w:rsidRPr="00504025" w14:paraId="129DADF7" w14:textId="77777777" w:rsidTr="00016D0C">
        <w:trPr>
          <w:trHeight w:val="1278"/>
        </w:trPr>
        <w:tc>
          <w:tcPr>
            <w:tcW w:w="8988" w:type="dxa"/>
            <w:vAlign w:val="center"/>
          </w:tcPr>
          <w:p w14:paraId="7CC664A7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210449D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78CC54D8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525353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1F786F2E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6A4E018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4D9CFB9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1A6BE8FB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38D5AFF6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1DFD29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031CED5C" w14:textId="77777777" w:rsidTr="00016D0C">
        <w:trPr>
          <w:trHeight w:val="1576"/>
        </w:trPr>
        <w:tc>
          <w:tcPr>
            <w:tcW w:w="8988" w:type="dxa"/>
            <w:vAlign w:val="center"/>
          </w:tcPr>
          <w:p w14:paraId="4627936E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774FAD5D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6BAB0C9" w14:textId="77777777" w:rsidR="00E8012E" w:rsidRPr="00E948B8" w:rsidRDefault="00E948B8" w:rsidP="00E948B8">
            <w:pPr>
              <w:spacing w:line="0" w:lineRule="atLeast"/>
              <w:rPr>
                <w:rFonts w:asciiTheme="minorHAnsi" w:hAnsiTheme="minorHAnsi" w:cs="Arial"/>
                <w:b/>
                <w:sz w:val="16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20"/>
                  </w:rPr>
                  <m:t>Porcentaje de cubrimiento del presupuesto con recursos de la Nación para gastos de funcionamiento=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 xml:space="preserve">total compromisos atendidos con Recursos Nación 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Total de gastos de funcionamiento</m:t>
                    </m:r>
                  </m:den>
                </m:f>
              </m:oMath>
            </m:oMathPara>
          </w:p>
        </w:tc>
      </w:tr>
      <w:tr w:rsidR="00E8012E" w:rsidRPr="00504025" w14:paraId="3FC1838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4BDFCC4" w14:textId="77777777" w:rsidR="00016D0C" w:rsidRDefault="00016D0C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7CA89D7" w14:textId="2E67F20F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00169F0E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EE08B0E" w14:textId="77777777" w:rsidR="00A01346" w:rsidRPr="00EA4EAB" w:rsidRDefault="00A01346" w:rsidP="00A0134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</w:pPr>
            <w:r w:rsidRPr="00EA4EAB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Durante la vigencia</w:t>
            </w:r>
          </w:p>
          <w:p w14:paraId="074384C4" w14:textId="10D03583" w:rsidR="00A01346" w:rsidRPr="005D67AA" w:rsidRDefault="00A01346" w:rsidP="00A0134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El valor total de compromisos corresponde </w:t>
            </w:r>
            <w:r w:rsidR="00C64B2F">
              <w:rPr>
                <w:rFonts w:asciiTheme="minorHAnsi" w:hAnsiTheme="minorHAnsi" w:cs="Arial"/>
                <w:sz w:val="20"/>
                <w:szCs w:val="20"/>
                <w:lang w:val="es-CO"/>
              </w:rPr>
              <w:t>a los compromisos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 funcionamiento </w:t>
            </w:r>
            <w:r w:rsidR="00C64B2F">
              <w:rPr>
                <w:rFonts w:asciiTheme="minorHAnsi" w:hAnsiTheme="minorHAnsi" w:cs="Arial"/>
                <w:sz w:val="20"/>
                <w:szCs w:val="20"/>
                <w:lang w:val="es-CO"/>
              </w:rPr>
              <w:t>de acuerdo con e</w:t>
            </w:r>
            <w:r w:rsidR="004F12C4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l informe ejecución presupuestal </w:t>
            </w:r>
            <w:r w:rsidR="004F12C4"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de gastos </w:t>
            </w:r>
            <w:r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menos los compromisos </w:t>
            </w:r>
            <w:r w:rsidR="00DE2782"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adquiridos en la estructura de proyectos especiales </w:t>
            </w:r>
            <w:r w:rsidR="00C64B2F"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>de acuerdo con el</w:t>
            </w:r>
            <w:r w:rsidR="00DE2782"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informe de ejecución presupuestal de esta unidad ejecutora</w:t>
            </w:r>
            <w:r w:rsidR="00C64B2F"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; </w:t>
            </w:r>
            <w:r w:rsidR="008C3176"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>en atención a que la Nación no aporta para este tipo de gastos donde su fuente de financiación es producto de la comercialización de servicios de docencia, investigación y extensión catalogados como recursos propios.</w:t>
            </w:r>
          </w:p>
          <w:p w14:paraId="444903FB" w14:textId="77777777" w:rsidR="00A01346" w:rsidRPr="005D67AA" w:rsidRDefault="00A01346" w:rsidP="00A0134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402A978A" w14:textId="77777777" w:rsidR="00A01346" w:rsidRPr="005D67AA" w:rsidRDefault="00A01346" w:rsidP="00A0134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</w:pPr>
            <w:r w:rsidRPr="005D67AA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Cierre de vigencia</w:t>
            </w:r>
          </w:p>
          <w:p w14:paraId="3D045D6D" w14:textId="28A35536" w:rsidR="004F12C4" w:rsidRDefault="004F12C4" w:rsidP="004F12C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El valor total de compromisos corresponde </w:t>
            </w:r>
            <w:r w:rsidR="00060932"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>a los compromisos</w:t>
            </w:r>
            <w:r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1513D0"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de funcionamiento </w:t>
            </w:r>
            <w:r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reportado en el informe presupuestal de gastos para indicadores cierre de vigencia </w:t>
            </w:r>
            <w:r w:rsidR="00060932"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menos los compromisos adquiridos en la estructura de proyectos especiales de acuerdo con el informe de ejecución presupuestal de esta unidad ejecutora; </w:t>
            </w:r>
            <w:r w:rsidRPr="005D67AA">
              <w:rPr>
                <w:rFonts w:asciiTheme="minorHAnsi" w:hAnsiTheme="minorHAnsi" w:cs="Arial"/>
                <w:sz w:val="20"/>
                <w:szCs w:val="20"/>
                <w:lang w:val="es-CO"/>
              </w:rPr>
              <w:t>en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atención a que la Nación no aporta para este tipo de gastos donde su fuente de financiación es producto de la comercialización de servicios de docencia, investigación y extensión catalogados como recursos propios.</w:t>
            </w:r>
          </w:p>
          <w:p w14:paraId="6B8105B2" w14:textId="77777777" w:rsidR="004F12C4" w:rsidRPr="00EA4EAB" w:rsidRDefault="004F12C4" w:rsidP="00A0134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</w:pPr>
          </w:p>
          <w:p w14:paraId="4FC47B78" w14:textId="505C1685" w:rsidR="00A01346" w:rsidRPr="0022156F" w:rsidRDefault="00A01346" w:rsidP="003649FE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3649F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Nota: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Es importante tener presente </w:t>
            </w:r>
            <w:r w:rsidR="0022156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la meta del indicador se valida una vez se </w:t>
            </w:r>
            <w:r w:rsidR="00324C74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tenga el </w:t>
            </w:r>
            <w:r w:rsidR="0022156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cierre de </w:t>
            </w:r>
            <w:r w:rsidR="00E60F05">
              <w:rPr>
                <w:rFonts w:asciiTheme="minorHAnsi" w:hAnsiTheme="minorHAnsi" w:cs="Arial"/>
                <w:sz w:val="20"/>
                <w:szCs w:val="20"/>
                <w:lang w:val="es-CO"/>
              </w:rPr>
              <w:t>vigencia,</w:t>
            </w:r>
            <w:r w:rsidR="0022156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sin </w:t>
            </w:r>
            <w:r w:rsidR="003649FE">
              <w:rPr>
                <w:rFonts w:asciiTheme="minorHAnsi" w:hAnsiTheme="minorHAnsi" w:cs="Arial"/>
                <w:sz w:val="20"/>
                <w:szCs w:val="20"/>
                <w:lang w:val="es-CO"/>
              </w:rPr>
              <w:t>embargo,</w:t>
            </w:r>
            <w:r w:rsidR="0022156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se realiza un monitoreo trimestral a los resultados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por temas </w:t>
            </w:r>
            <w:r w:rsidR="0051216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de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reporte</w:t>
            </w:r>
            <w:r w:rsidR="002D3276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  <w:r w:rsidR="00E60F0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 Los valores reportados no </w:t>
            </w:r>
            <w:r w:rsidR="00E60F05">
              <w:rPr>
                <w:rFonts w:asciiTheme="minorHAnsi" w:hAnsiTheme="minorHAnsi" w:cs="Arial"/>
                <w:sz w:val="20"/>
                <w:szCs w:val="20"/>
                <w:lang w:val="es-CO"/>
              </w:rPr>
              <w:lastRenderedPageBreak/>
              <w:t>son comparables.</w:t>
            </w:r>
          </w:p>
        </w:tc>
      </w:tr>
      <w:tr w:rsidR="00E8012E" w:rsidRPr="00504025" w14:paraId="2151757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2B6F0BC" w14:textId="77777777" w:rsidR="00016D0C" w:rsidRDefault="00016D0C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7DDFE98B" w14:textId="7F25A850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427BD226" w14:textId="2D820843" w:rsidR="00016D0C" w:rsidRDefault="00016D0C" w:rsidP="00DF21E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7083C44F" w14:textId="77777777" w:rsidR="00016D0C" w:rsidRDefault="00016D0C" w:rsidP="00DF21E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496C2539" w14:textId="7ACEE33E" w:rsidR="00E8012E" w:rsidRDefault="00EF1F80" w:rsidP="00DF21E6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  <w:r w:rsidRPr="003649F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Informe ejecución de </w:t>
            </w:r>
            <w:r w:rsidR="00016D0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gastos</w:t>
            </w:r>
            <w:r w:rsidRPr="003649F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para indicadores cierre de vigencia: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Informe que se puede consultar en el siguiente link </w:t>
            </w:r>
            <w:hyperlink r:id="rId8" w:history="1">
              <w:r w:rsidRPr="001C2B54">
                <w:rPr>
                  <w:rStyle w:val="Hipervnculo"/>
                  <w:rFonts w:asciiTheme="minorHAnsi" w:hAnsiTheme="minorHAnsi"/>
                  <w:sz w:val="16"/>
                  <w:szCs w:val="16"/>
                  <w:lang w:val="es-CO"/>
                </w:rPr>
                <w:t>https://www.utp.edu.co/vicerrectoria/administrativa/ejecucion-presupuestal.html</w:t>
              </w:r>
            </w:hyperlink>
          </w:p>
          <w:p w14:paraId="3A1E0952" w14:textId="77777777" w:rsidR="00016D0C" w:rsidRDefault="00016D0C" w:rsidP="00DF21E6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  <w:p w14:paraId="332E801C" w14:textId="77777777" w:rsidR="00016D0C" w:rsidRDefault="00016D0C" w:rsidP="00DF21E6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  <w:p w14:paraId="7BA1A56A" w14:textId="43AF50B5" w:rsidR="00016D0C" w:rsidRDefault="00016D0C" w:rsidP="00DF21E6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  <w:r w:rsidRPr="00C50B50">
              <w:rPr>
                <w:rFonts w:asciiTheme="minorHAnsi" w:hAnsiTheme="minorHAnsi" w:cs="Arial"/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37B80326" wp14:editId="295DA904">
                  <wp:extent cx="5679317" cy="5610225"/>
                  <wp:effectExtent l="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971" cy="563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C6D18" w14:textId="77777777" w:rsidR="00016D0C" w:rsidRDefault="00016D0C" w:rsidP="00DF21E6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  <w:p w14:paraId="3CB25AC8" w14:textId="1F3E36E3" w:rsidR="00016D0C" w:rsidRPr="00EF1F80" w:rsidRDefault="00016D0C" w:rsidP="00DF21E6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E8012E" w:rsidRPr="00504025" w14:paraId="082B3A42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D1307CD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6E1F3390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E0A1153" w14:textId="77777777" w:rsidR="00140ECC" w:rsidRPr="00504025" w:rsidRDefault="00297247" w:rsidP="00140EC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7247">
              <w:rPr>
                <w:rFonts w:asciiTheme="minorHAnsi" w:hAnsiTheme="minorHAnsi" w:cs="Arial"/>
                <w:b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44208119" wp14:editId="2E056E5B">
                  <wp:extent cx="3638550" cy="2362626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729" cy="236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77A4A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7D66B37D" w14:textId="77777777" w:rsidR="00E8012E" w:rsidRDefault="00E8012E" w:rsidP="00140ECC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800C77B" w14:textId="77777777" w:rsidR="00297247" w:rsidRDefault="00297247" w:rsidP="00140ECC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0F1AA4E" w14:textId="77777777" w:rsidR="00297247" w:rsidRDefault="00297247" w:rsidP="00140ECC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21F2609" w14:textId="77777777" w:rsidR="00297247" w:rsidRPr="00140ECC" w:rsidRDefault="00297247" w:rsidP="00140ECC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0030DDA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0371652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C60357C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51F0ACE3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19256E50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4C05B17A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1767AED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09569544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59A909E6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4ED9F3C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4E8EC189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6B02A31A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5F38024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02BC0B9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0314DF9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52D19D5C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6F15F9" w:rsidRPr="00CF29F3" w14:paraId="68D4D1E1" w14:textId="77777777" w:rsidTr="00CF29F3">
        <w:trPr>
          <w:jc w:val="center"/>
        </w:trPr>
        <w:tc>
          <w:tcPr>
            <w:tcW w:w="1129" w:type="dxa"/>
            <w:vAlign w:val="center"/>
          </w:tcPr>
          <w:p w14:paraId="55A38547" w14:textId="2A63CF33" w:rsidR="006F15F9" w:rsidRPr="00CF29F3" w:rsidRDefault="006F15F9" w:rsidP="006F15F9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D3CCCD5" w14:textId="61386572" w:rsidR="006F15F9" w:rsidRPr="00CF29F3" w:rsidRDefault="006F15F9" w:rsidP="006F15F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208AF1A1" w14:textId="3B765632" w:rsidR="006F15F9" w:rsidRPr="00CF29F3" w:rsidRDefault="006F15F9" w:rsidP="006F15F9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0D6476D9" w14:textId="2EC2EC35" w:rsidR="006F15F9" w:rsidRPr="00CF29F3" w:rsidRDefault="006F15F9" w:rsidP="006F15F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62300FA3" w14:textId="3A04C108" w:rsidR="006F15F9" w:rsidRPr="00CF29F3" w:rsidRDefault="006F15F9" w:rsidP="006F15F9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  <w:tr w:rsidR="005D67AA" w:rsidRPr="00CF29F3" w14:paraId="7F8C2B21" w14:textId="77777777" w:rsidTr="00CF29F3">
        <w:trPr>
          <w:jc w:val="center"/>
        </w:trPr>
        <w:tc>
          <w:tcPr>
            <w:tcW w:w="1129" w:type="dxa"/>
            <w:vAlign w:val="center"/>
          </w:tcPr>
          <w:p w14:paraId="6E160110" w14:textId="0E843786" w:rsidR="005D67AA" w:rsidRPr="00FE5254" w:rsidRDefault="005D67AA" w:rsidP="006F15F9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D33B0BB" w14:textId="60435297" w:rsidR="005D67AA" w:rsidRPr="00CF29F3" w:rsidRDefault="005D67AA" w:rsidP="006F15F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Solicitud de cambio 18-07-2022</w:t>
            </w:r>
          </w:p>
        </w:tc>
        <w:tc>
          <w:tcPr>
            <w:tcW w:w="1418" w:type="dxa"/>
            <w:vAlign w:val="center"/>
          </w:tcPr>
          <w:p w14:paraId="230FE1C2" w14:textId="2817A3E0" w:rsidR="005D67AA" w:rsidRPr="00FE5254" w:rsidRDefault="005D67AA" w:rsidP="006F15F9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18-07-2022</w:t>
            </w:r>
          </w:p>
        </w:tc>
        <w:tc>
          <w:tcPr>
            <w:tcW w:w="4111" w:type="dxa"/>
            <w:vAlign w:val="center"/>
          </w:tcPr>
          <w:p w14:paraId="1186420E" w14:textId="51542DCB" w:rsidR="005D67AA" w:rsidRPr="005D67AA" w:rsidRDefault="005D67AA" w:rsidP="005D67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5D67AA">
              <w:rPr>
                <w:rFonts w:asciiTheme="minorHAnsi" w:hAnsiTheme="minorHAnsi" w:cs="Arial"/>
                <w:sz w:val="20"/>
                <w:szCs w:val="20"/>
              </w:rPr>
              <w:t>just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D67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5D67AA">
              <w:rPr>
                <w:rFonts w:asciiTheme="minorHAnsi" w:hAnsiTheme="minorHAnsi" w:cs="Arial"/>
                <w:sz w:val="20"/>
                <w:szCs w:val="20"/>
              </w:rPr>
              <w:t>la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D67AA">
              <w:rPr>
                <w:rFonts w:asciiTheme="minorHAnsi" w:hAnsiTheme="minorHAnsi" w:cs="Arial"/>
                <w:sz w:val="20"/>
                <w:szCs w:val="20"/>
              </w:rPr>
              <w:t>descripción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D67AA">
              <w:rPr>
                <w:rFonts w:asciiTheme="minorHAnsi" w:hAnsiTheme="minorHAnsi" w:cs="Arial"/>
                <w:sz w:val="20"/>
                <w:szCs w:val="20"/>
              </w:rPr>
              <w:t>del protocolo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Pr="005D67AA">
              <w:rPr>
                <w:rFonts w:asciiTheme="minorHAnsi" w:hAnsiTheme="minorHAnsi" w:cs="Arial"/>
                <w:sz w:val="20"/>
                <w:szCs w:val="20"/>
              </w:rPr>
              <w:t>n atención a la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D67AA">
              <w:rPr>
                <w:rFonts w:asciiTheme="minorHAnsi" w:hAnsiTheme="minorHAnsi" w:cs="Arial"/>
                <w:sz w:val="20"/>
                <w:szCs w:val="20"/>
              </w:rPr>
              <w:t>nueva estructura de clasificación</w:t>
            </w:r>
          </w:p>
          <w:p w14:paraId="33549190" w14:textId="256D9838" w:rsidR="005D67AA" w:rsidRPr="00CF29F3" w:rsidRDefault="005D67AA" w:rsidP="005D67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D67AA">
              <w:rPr>
                <w:rFonts w:asciiTheme="minorHAnsi" w:hAnsiTheme="minorHAnsi" w:cs="Arial"/>
                <w:sz w:val="20"/>
                <w:szCs w:val="20"/>
              </w:rPr>
              <w:t>presupuestal de gasto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658" w:type="dxa"/>
            <w:vAlign w:val="center"/>
          </w:tcPr>
          <w:p w14:paraId="4E612318" w14:textId="726B97C3" w:rsidR="005D67AA" w:rsidRDefault="005D67AA" w:rsidP="006F15F9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Ajuste</w:t>
            </w:r>
          </w:p>
        </w:tc>
      </w:tr>
    </w:tbl>
    <w:p w14:paraId="478493A2" w14:textId="77777777" w:rsidR="00E8012E" w:rsidRPr="00C363D4" w:rsidRDefault="00E8012E" w:rsidP="003832B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3832B1">
      <w:headerReference w:type="default" r:id="rId11"/>
      <w:footerReference w:type="default" r:id="rId12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B42F" w14:textId="77777777" w:rsidR="00B7199F" w:rsidRDefault="00B7199F">
      <w:r>
        <w:separator/>
      </w:r>
    </w:p>
  </w:endnote>
  <w:endnote w:type="continuationSeparator" w:id="0">
    <w:p w14:paraId="1508C217" w14:textId="77777777" w:rsidR="00B7199F" w:rsidRDefault="00B7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FE22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AF5F" w14:textId="77777777" w:rsidR="00B7199F" w:rsidRDefault="00B7199F">
      <w:r>
        <w:separator/>
      </w:r>
    </w:p>
  </w:footnote>
  <w:footnote w:type="continuationSeparator" w:id="0">
    <w:p w14:paraId="40030A55" w14:textId="77777777" w:rsidR="00B7199F" w:rsidRDefault="00B7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6D80E91E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3707DF6A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879564A" wp14:editId="71F03889">
                <wp:extent cx="1171185" cy="854648"/>
                <wp:effectExtent l="0" t="0" r="0" b="3175"/>
                <wp:docPr id="1096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4412B54E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1CC25C56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675D1167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6933710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71852A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0E99EA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1EE53AC5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83531C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183CE7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72B7860E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0C4AA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995752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1311BF9D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9EB9CE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4AD673" w14:textId="2222D31E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4E4F6D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4E4F6D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2AF0A89A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057C278D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803118"/>
    <w:multiLevelType w:val="hybridMultilevel"/>
    <w:tmpl w:val="B3682C5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79020">
    <w:abstractNumId w:val="12"/>
  </w:num>
  <w:num w:numId="2" w16cid:durableId="1458598855">
    <w:abstractNumId w:val="17"/>
  </w:num>
  <w:num w:numId="3" w16cid:durableId="1429160277">
    <w:abstractNumId w:val="13"/>
  </w:num>
  <w:num w:numId="4" w16cid:durableId="73017484">
    <w:abstractNumId w:val="2"/>
  </w:num>
  <w:num w:numId="5" w16cid:durableId="2057847257">
    <w:abstractNumId w:val="14"/>
  </w:num>
  <w:num w:numId="6" w16cid:durableId="565409870">
    <w:abstractNumId w:val="7"/>
  </w:num>
  <w:num w:numId="7" w16cid:durableId="1760061668">
    <w:abstractNumId w:val="6"/>
  </w:num>
  <w:num w:numId="8" w16cid:durableId="1093361652">
    <w:abstractNumId w:val="8"/>
  </w:num>
  <w:num w:numId="9" w16cid:durableId="430902569">
    <w:abstractNumId w:val="9"/>
  </w:num>
  <w:num w:numId="10" w16cid:durableId="1118404524">
    <w:abstractNumId w:val="15"/>
  </w:num>
  <w:num w:numId="11" w16cid:durableId="1407267361">
    <w:abstractNumId w:val="3"/>
  </w:num>
  <w:num w:numId="12" w16cid:durableId="548078951">
    <w:abstractNumId w:val="11"/>
  </w:num>
  <w:num w:numId="13" w16cid:durableId="128978201">
    <w:abstractNumId w:val="4"/>
  </w:num>
  <w:num w:numId="14" w16cid:durableId="1089085726">
    <w:abstractNumId w:val="1"/>
  </w:num>
  <w:num w:numId="15" w16cid:durableId="250624430">
    <w:abstractNumId w:val="10"/>
  </w:num>
  <w:num w:numId="16" w16cid:durableId="1204055756">
    <w:abstractNumId w:val="18"/>
  </w:num>
  <w:num w:numId="17" w16cid:durableId="1406561565">
    <w:abstractNumId w:val="0"/>
  </w:num>
  <w:num w:numId="18" w16cid:durableId="617688411">
    <w:abstractNumId w:val="5"/>
  </w:num>
  <w:num w:numId="19" w16cid:durableId="56815648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6D0C"/>
    <w:rsid w:val="00017131"/>
    <w:rsid w:val="00033570"/>
    <w:rsid w:val="00036D46"/>
    <w:rsid w:val="00042F98"/>
    <w:rsid w:val="000473A1"/>
    <w:rsid w:val="000507E7"/>
    <w:rsid w:val="000519BF"/>
    <w:rsid w:val="00052E23"/>
    <w:rsid w:val="000578E4"/>
    <w:rsid w:val="0006072B"/>
    <w:rsid w:val="00060932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2A4C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2746D"/>
    <w:rsid w:val="001338CF"/>
    <w:rsid w:val="00136324"/>
    <w:rsid w:val="0013744F"/>
    <w:rsid w:val="00137FC8"/>
    <w:rsid w:val="00140ECC"/>
    <w:rsid w:val="001513D0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B0187"/>
    <w:rsid w:val="001B07C0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156F"/>
    <w:rsid w:val="002227C4"/>
    <w:rsid w:val="0022494B"/>
    <w:rsid w:val="00225A27"/>
    <w:rsid w:val="002263BB"/>
    <w:rsid w:val="00232106"/>
    <w:rsid w:val="002334D8"/>
    <w:rsid w:val="00234DF4"/>
    <w:rsid w:val="00236281"/>
    <w:rsid w:val="0023645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1DD1"/>
    <w:rsid w:val="00272854"/>
    <w:rsid w:val="002831C2"/>
    <w:rsid w:val="00285FF8"/>
    <w:rsid w:val="00290B90"/>
    <w:rsid w:val="00293440"/>
    <w:rsid w:val="00293CF1"/>
    <w:rsid w:val="00297247"/>
    <w:rsid w:val="002A32F0"/>
    <w:rsid w:val="002A44EC"/>
    <w:rsid w:val="002A5CE3"/>
    <w:rsid w:val="002B03BE"/>
    <w:rsid w:val="002B1435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D3276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24C74"/>
    <w:rsid w:val="003325F7"/>
    <w:rsid w:val="00333898"/>
    <w:rsid w:val="00333FE8"/>
    <w:rsid w:val="00334696"/>
    <w:rsid w:val="0033485B"/>
    <w:rsid w:val="00342429"/>
    <w:rsid w:val="00344701"/>
    <w:rsid w:val="00344708"/>
    <w:rsid w:val="00347179"/>
    <w:rsid w:val="00350C5F"/>
    <w:rsid w:val="00354025"/>
    <w:rsid w:val="00356827"/>
    <w:rsid w:val="00357296"/>
    <w:rsid w:val="0035731B"/>
    <w:rsid w:val="00360680"/>
    <w:rsid w:val="00361004"/>
    <w:rsid w:val="003649FE"/>
    <w:rsid w:val="00364B2D"/>
    <w:rsid w:val="0036506A"/>
    <w:rsid w:val="0037401F"/>
    <w:rsid w:val="003741BC"/>
    <w:rsid w:val="00374BC3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054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39D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4F6D"/>
    <w:rsid w:val="004E7E4B"/>
    <w:rsid w:val="004F12C4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216B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3A97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D67AA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5F9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1BAF"/>
    <w:rsid w:val="007E6343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176"/>
    <w:rsid w:val="008C39DD"/>
    <w:rsid w:val="008C4760"/>
    <w:rsid w:val="008C56E9"/>
    <w:rsid w:val="008D1341"/>
    <w:rsid w:val="008D2AA8"/>
    <w:rsid w:val="008D5771"/>
    <w:rsid w:val="008E1324"/>
    <w:rsid w:val="008E206E"/>
    <w:rsid w:val="008E4F10"/>
    <w:rsid w:val="008E5BE7"/>
    <w:rsid w:val="008E75C0"/>
    <w:rsid w:val="008E7A30"/>
    <w:rsid w:val="008F76D7"/>
    <w:rsid w:val="008F7A18"/>
    <w:rsid w:val="009034FA"/>
    <w:rsid w:val="009037C2"/>
    <w:rsid w:val="00904AC3"/>
    <w:rsid w:val="00912D92"/>
    <w:rsid w:val="0091462A"/>
    <w:rsid w:val="00920E88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2C3C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E7E52"/>
    <w:rsid w:val="009F3783"/>
    <w:rsid w:val="009F46B9"/>
    <w:rsid w:val="009F5809"/>
    <w:rsid w:val="00A00D6F"/>
    <w:rsid w:val="00A01346"/>
    <w:rsid w:val="00A019FD"/>
    <w:rsid w:val="00A01DCB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4646"/>
    <w:rsid w:val="00A35B14"/>
    <w:rsid w:val="00A433EE"/>
    <w:rsid w:val="00A4724E"/>
    <w:rsid w:val="00A51D59"/>
    <w:rsid w:val="00A5518B"/>
    <w:rsid w:val="00A556FA"/>
    <w:rsid w:val="00A61513"/>
    <w:rsid w:val="00A63B68"/>
    <w:rsid w:val="00A64DB0"/>
    <w:rsid w:val="00A7054E"/>
    <w:rsid w:val="00A74C7F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199F"/>
    <w:rsid w:val="00B72A46"/>
    <w:rsid w:val="00B72CBD"/>
    <w:rsid w:val="00B743D4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4B2F"/>
    <w:rsid w:val="00C66888"/>
    <w:rsid w:val="00C67AA2"/>
    <w:rsid w:val="00C7349C"/>
    <w:rsid w:val="00C778DF"/>
    <w:rsid w:val="00C77EC3"/>
    <w:rsid w:val="00C81CE9"/>
    <w:rsid w:val="00C82301"/>
    <w:rsid w:val="00C83913"/>
    <w:rsid w:val="00C8721B"/>
    <w:rsid w:val="00C94CEF"/>
    <w:rsid w:val="00C95150"/>
    <w:rsid w:val="00C9706F"/>
    <w:rsid w:val="00C97F80"/>
    <w:rsid w:val="00CA0BD8"/>
    <w:rsid w:val="00CB3D95"/>
    <w:rsid w:val="00CB3EDA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128F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2F6E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2782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178F2"/>
    <w:rsid w:val="00E30539"/>
    <w:rsid w:val="00E3341B"/>
    <w:rsid w:val="00E357E3"/>
    <w:rsid w:val="00E35CDE"/>
    <w:rsid w:val="00E36606"/>
    <w:rsid w:val="00E37C2B"/>
    <w:rsid w:val="00E53A15"/>
    <w:rsid w:val="00E53D08"/>
    <w:rsid w:val="00E60F05"/>
    <w:rsid w:val="00E664B2"/>
    <w:rsid w:val="00E736AE"/>
    <w:rsid w:val="00E73996"/>
    <w:rsid w:val="00E8012E"/>
    <w:rsid w:val="00E81B79"/>
    <w:rsid w:val="00E81C5A"/>
    <w:rsid w:val="00E948B8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1F80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0589"/>
    <w:rsid w:val="00F75544"/>
    <w:rsid w:val="00F9325B"/>
    <w:rsid w:val="00F9728D"/>
    <w:rsid w:val="00FA09DC"/>
    <w:rsid w:val="00FA321C"/>
    <w:rsid w:val="00FA44C2"/>
    <w:rsid w:val="00FA6AC1"/>
    <w:rsid w:val="00FA6DEB"/>
    <w:rsid w:val="00FB3E0A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700E2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Textodelmarcadordeposicin">
    <w:name w:val="Placeholder Text"/>
    <w:basedOn w:val="Fuentedeprrafopredeter"/>
    <w:uiPriority w:val="99"/>
    <w:semiHidden/>
    <w:rsid w:val="00E948B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E27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27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278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7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78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p.edu.co/vicerrectoria/administrativa/ejecucion-presupuesta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37F6-77D4-44C4-85AF-8CCD8A0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5</cp:revision>
  <cp:lastPrinted>2008-11-24T15:14:00Z</cp:lastPrinted>
  <dcterms:created xsi:type="dcterms:W3CDTF">2022-07-15T22:47:00Z</dcterms:created>
  <dcterms:modified xsi:type="dcterms:W3CDTF">2022-07-19T19:19:00Z</dcterms:modified>
</cp:coreProperties>
</file>