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341359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341359" w:rsidRPr="00504025" w:rsidRDefault="00341359" w:rsidP="0034135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CEA0201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41359" w:rsidRPr="0041438F" w:rsidRDefault="00341359" w:rsidP="0034135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41359" w:rsidRPr="0041438F" w:rsidRDefault="00341359" w:rsidP="0034135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341359" w:rsidRPr="0041438F" w:rsidRDefault="00341359" w:rsidP="0034135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341359" w:rsidRPr="0041438F" w:rsidRDefault="00341359" w:rsidP="0034135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Estudiantes acompañados en el proceso formativo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FE5254" w:rsidRDefault="00E8012E" w:rsidP="00256B7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Porcentaje de estudiantes acompañados </w:t>
            </w:r>
            <w:r w:rsidR="000C21D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académcamente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 inician su proceso académic</w:t>
            </w:r>
            <w:r w:rsidR="00AA677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o.</w:t>
            </w:r>
          </w:p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85C7E" w:rsidRPr="00E11B9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885C7E" w:rsidRDefault="00E8012E" w:rsidP="00885C7E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885C7E" w:rsidRPr="00B510E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Disminuir la deserción y lograr el egreso oportuno</w:t>
            </w:r>
          </w:p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F21C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F21C5F" w:rsidRPr="00F21C5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Docencia 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D22280" w:rsidRDefault="00D22280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D22280" w:rsidRPr="00787881" w:rsidRDefault="00D22280" w:rsidP="00D2228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2.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 </w:t>
            </w:r>
          </w:p>
          <w:p w:rsidR="00D22280" w:rsidRDefault="00D22280" w:rsidP="00D22280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1D3BE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Admisión y permanencia de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D22280" w:rsidRPr="00504025" w:rsidRDefault="00D22280" w:rsidP="00D2228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1D3BE6">
              <w:rPr>
                <w:rFonts w:asciiTheme="minorHAnsi" w:hAnsiTheme="minorHAnsi" w:cs="Arial"/>
                <w:sz w:val="20"/>
                <w:szCs w:val="20"/>
                <w:lang w:val="es-CO"/>
              </w:rPr>
              <w:t>A. Aplicación equitativa y transparente de los criterios para la admisión y permanencia de los estudiantes.</w:t>
            </w:r>
          </w:p>
          <w:p w:rsidR="007E2F15" w:rsidRDefault="007E2F15" w:rsidP="007E2F1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E2F15" w:rsidRPr="00F21C5F" w:rsidRDefault="007E2F15" w:rsidP="007E2F1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F21C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ESTUDIANTES</w:t>
            </w:r>
            <w:r w:rsidRPr="00F21C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7E2F15" w:rsidRDefault="007E2F15" w:rsidP="007E2F1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5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21C5F"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</w:t>
            </w:r>
          </w:p>
          <w:p w:rsidR="007E2F15" w:rsidRDefault="007E2F15" w:rsidP="007E2F1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1C5F">
              <w:rPr>
                <w:rFonts w:asciiTheme="minorHAnsi" w:hAnsiTheme="minorHAnsi" w:cs="Arial"/>
                <w:sz w:val="20"/>
                <w:szCs w:val="20"/>
                <w:lang w:val="es-CO"/>
              </w:rPr>
              <w:t>C. Deserción de estudiantes, análisis de causas y estrategias de permanencia en condiciones de calidad.</w:t>
            </w:r>
          </w:p>
          <w:p w:rsidR="007E2F15" w:rsidRDefault="007E2F15" w:rsidP="007E2F1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D22280" w:rsidRPr="00787881" w:rsidRDefault="00D22280" w:rsidP="00D2228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2.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D22280" w:rsidRDefault="00D22280" w:rsidP="00D22280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D0125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6. Sistemas de estímulos y créditos para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1D3BE6" w:rsidRPr="00787881" w:rsidRDefault="00D22280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01258">
              <w:rPr>
                <w:rFonts w:asciiTheme="minorHAnsi" w:hAnsiTheme="minorHAnsi" w:cs="Arial"/>
                <w:sz w:val="20"/>
                <w:szCs w:val="20"/>
                <w:lang w:val="es-CO"/>
              </w:rPr>
              <w:t>B. Existencia de convenios interinstitucionales activos tendientes a facilitar el ingreso y permanencia de estudiantes.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7168B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972E5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72E53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972E5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7F624A" w:rsidRDefault="007F624A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610F9B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Estudiantes Acompañados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7F624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proceso de acompañamiento académico a estudiantes; con el fin de </w:t>
            </w:r>
            <w:r w:rsidR="009C0B77">
              <w:rPr>
                <w:rFonts w:asciiTheme="minorHAnsi" w:hAnsiTheme="minorHAnsi"/>
                <w:sz w:val="20"/>
                <w:szCs w:val="20"/>
                <w:lang w:val="es-CO"/>
              </w:rPr>
              <w:t>nivelar competencias académicas</w:t>
            </w:r>
            <w:r w:rsidR="007F624A">
              <w:rPr>
                <w:rFonts w:asciiTheme="minorHAnsi" w:hAnsiTheme="minorHAnsi"/>
                <w:sz w:val="20"/>
                <w:szCs w:val="20"/>
                <w:lang w:val="es-CO"/>
              </w:rPr>
              <w:t>,</w:t>
            </w:r>
            <w:r w:rsidR="009C0B7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intervención al </w:t>
            </w:r>
            <w:r w:rsidR="007F624A">
              <w:rPr>
                <w:rFonts w:asciiTheme="minorHAnsi" w:hAnsiTheme="minorHAnsi"/>
                <w:sz w:val="20"/>
                <w:szCs w:val="20"/>
                <w:lang w:val="es-CO"/>
              </w:rPr>
              <w:t>bajo rendimiento académico,</w:t>
            </w:r>
            <w:r w:rsidR="009C0B7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7F624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refuerzo de conocimientos previos o riesgo académico. </w:t>
            </w:r>
          </w:p>
          <w:p w:rsidR="00E8012E" w:rsidRPr="00504025" w:rsidRDefault="00E8012E" w:rsidP="00330F9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5C4E81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5C4E8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B46688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5C4E81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Fórmula</w:t>
            </w:r>
            <w:r w:rsidR="00E329CC">
              <w:rPr>
                <w:rFonts w:asciiTheme="minorHAnsi" w:hAnsiTheme="minorHAnsi" w:cs="Arial"/>
                <w:b/>
                <w:sz w:val="20"/>
                <w:szCs w:val="20"/>
              </w:rPr>
              <w:t xml:space="preserve"> General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  <w:p w:rsidR="00946A81" w:rsidRDefault="00946A81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46A81" w:rsidRPr="00946A81" w:rsidRDefault="000C7A6A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 xml:space="preserve">Total atendidos en el proceso formativo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</m:oMath>
            </m:oMathPara>
          </w:p>
          <w:p w:rsidR="00946A81" w:rsidRPr="00946A81" w:rsidRDefault="00946A81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46A81" w:rsidRPr="00946A81" w:rsidRDefault="00260C50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946A81" w:rsidRDefault="00D4338B" w:rsidP="00260C5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Número total de estudiantes atendidos  (total atenciones por estudiante en monitorias) </m:t>
                  </m:r>
                </m:num>
                <m:den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Número total de estudiantes que requieren acompañamiento</m:t>
                  </m:r>
                  <m:r>
                    <w:rPr>
                      <w:rFonts w:ascii="Cambria Math" w:hAnsi="Cambria Math" w:cs="Cambria Math"/>
                      <w:color w:val="7F7F7F" w:themeColor="text1" w:themeTint="80"/>
                      <w:sz w:val="20"/>
                      <w:szCs w:val="20"/>
                    </w:rPr>
                    <m:t>*</m:t>
                  </m:r>
                </m:den>
              </m:f>
            </m:oMath>
            <w:r w:rsidR="00260C50">
              <w:rPr>
                <w:rFonts w:asciiTheme="minorHAnsi" w:hAnsiTheme="minorHAnsi" w:cs="Arial"/>
                <w:sz w:val="20"/>
                <w:szCs w:val="20"/>
              </w:rPr>
              <w:t xml:space="preserve"> * 100</w:t>
            </w:r>
          </w:p>
          <w:p w:rsidR="00260C50" w:rsidRPr="00946A81" w:rsidRDefault="00260C50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46A81" w:rsidRDefault="007643C1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Información del denominador </w:t>
            </w:r>
          </w:p>
          <w:p w:rsidR="007A5EF6" w:rsidRPr="00B46688" w:rsidRDefault="00E329CC" w:rsidP="00C5442B">
            <w:pPr>
              <w:spacing w:line="0" w:lineRule="atLeast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>*Número total de estudiantes que requieren acompañamiento</m:t>
                </m:r>
              </m:oMath>
            </m:oMathPara>
          </w:p>
          <w:p w:rsidR="00B46688" w:rsidRPr="00B46688" w:rsidRDefault="007A5EF6" w:rsidP="00C5442B">
            <w:pPr>
              <w:spacing w:line="0" w:lineRule="atLeast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 xml:space="preserve">= </m:t>
                </m:r>
              </m:oMath>
            </m:oMathPara>
          </w:p>
          <w:p w:rsidR="00B46688" w:rsidRPr="00B46688" w:rsidRDefault="00B46688" w:rsidP="00C5442B">
            <w:pPr>
              <w:spacing w:line="0" w:lineRule="atLeast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 xml:space="preserve"> total estudiantes que pierden la prueba de matemáticas 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7F7F7F" w:themeColor="text1" w:themeTint="8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7F7F7F" w:themeColor="text1" w:themeTint="80"/>
                        <w:sz w:val="20"/>
                        <w:szCs w:val="20"/>
                      </w:rPr>
                      <m:t>validación-clasificatoria-diagnóstica</m:t>
                    </m:r>
                  </m:e>
                </m:d>
              </m:oMath>
            </m:oMathPara>
          </w:p>
          <w:p w:rsidR="00E329CC" w:rsidRPr="00B46688" w:rsidRDefault="007A5EF6" w:rsidP="00C5442B">
            <w:pPr>
              <w:spacing w:line="0" w:lineRule="atLeast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 xml:space="preserve">+total estudiantes que quedan en nivel literal en prueba comprensión lectora +Total estudiantes que perdieron matemáticas vista en primer semestre o la canceló en el </m:t>
                </m:r>
              </m:oMath>
            </m:oMathPara>
          </w:p>
          <w:p w:rsidR="00946A81" w:rsidRPr="00B46688" w:rsidRDefault="00E329CC" w:rsidP="00C5442B">
            <w:pPr>
              <w:spacing w:line="0" w:lineRule="atLeast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>semestre inmediatmaente  anterior+  t</m:t>
                </m:r>
                <w:bookmarkStart w:id="1" w:name="OLE_LINK1"/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>otal estudiantes matriculados en asignaturas marcadas para monitorias académica</m:t>
                </m:r>
                <w:bookmarkEnd w:id="1"/>
                <m:r>
                  <w:rPr>
                    <w:rFonts w:ascii="Cambria Math" w:hAnsi="Cambria Math" w:cs="Cambria Math"/>
                    <w:color w:val="7F7F7F" w:themeColor="text1" w:themeTint="80"/>
                    <w:sz w:val="20"/>
                    <w:szCs w:val="20"/>
                  </w:rPr>
                  <m:t>s .</m:t>
                </m:r>
              </m:oMath>
            </m:oMathPara>
          </w:p>
          <w:p w:rsidR="00946A81" w:rsidRPr="00CF29F3" w:rsidRDefault="00946A81" w:rsidP="00C544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5C4E81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330F93" w:rsidRPr="00A122CD" w:rsidRDefault="00330F93" w:rsidP="00A122CD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>Reporte generado en el sistema Gestor de Actividades, relacionado con el número de estudiantes acompañados.</w:t>
            </w:r>
          </w:p>
          <w:p w:rsidR="00E00C2C" w:rsidRPr="00A122CD" w:rsidRDefault="00330F93" w:rsidP="00A122CD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>Reporte resultado pruebas</w:t>
            </w:r>
            <w:r w:rsidR="00E00C2C"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en matemáticas</w:t>
            </w:r>
            <w:r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diagnósticas, clasificatorias y de validación aplicadas a los estudiantes que ingresan por primera vez a los programas de pregrado de la Universidad.  </w:t>
            </w:r>
          </w:p>
          <w:p w:rsidR="00E00C2C" w:rsidRPr="00A122CD" w:rsidRDefault="00E00C2C" w:rsidP="00A122CD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Reporte resultado pruebas en lecto – escritura aplicadas a los estudiantes que ingresan por primera vez a los programas de pregrado de la Universidad.  </w:t>
            </w:r>
          </w:p>
          <w:p w:rsidR="00026EEE" w:rsidRPr="00A122CD" w:rsidRDefault="00E00C2C" w:rsidP="00A122CD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Reporte de estudiantes del semestre n (anterior) antiguos que </w:t>
            </w:r>
            <w:r w:rsidR="00B648E9"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>ganaron, perdieron y cancelaron matemáticas</w:t>
            </w:r>
            <w:r w:rsid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y que </w:t>
            </w:r>
            <w:r w:rsidR="005C4E81">
              <w:rPr>
                <w:rFonts w:asciiTheme="minorHAnsi" w:hAnsiTheme="minorHAnsi" w:cs="Arial"/>
                <w:sz w:val="20"/>
                <w:szCs w:val="20"/>
                <w:lang w:val="es-CO"/>
              </w:rPr>
              <w:t>permanecen</w:t>
            </w:r>
            <w:r w:rsid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en la Universidad</w:t>
            </w:r>
            <w:r w:rsidR="00B648E9" w:rsidRPr="001D6FE1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E00C2C" w:rsidRPr="00A122CD" w:rsidRDefault="00026EEE" w:rsidP="00A122CD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Reporte total estudiantes matriculados en asignaturas marcadas con monitoria.</w:t>
            </w:r>
          </w:p>
        </w:tc>
      </w:tr>
      <w:tr w:rsidR="00E8012E" w:rsidRPr="00504025" w:rsidTr="005C4E81">
        <w:trPr>
          <w:trHeight w:val="397"/>
        </w:trPr>
        <w:tc>
          <w:tcPr>
            <w:tcW w:w="8988" w:type="dxa"/>
            <w:tcBorders>
              <w:bottom w:val="single" w:sz="4" w:space="0" w:color="auto"/>
            </w:tcBorders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  <w:highlight w:val="yellow"/>
              </w:rPr>
            </w:pPr>
          </w:p>
          <w:p w:rsidR="00BE4FDB" w:rsidRDefault="00BE4FDB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BE4FDB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Reporte </w:t>
            </w:r>
            <w:r w:rsidR="000E707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listado de </w:t>
            </w:r>
            <w:r w:rsidR="000E7076" w:rsidRPr="000E707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atenciones</w:t>
            </w:r>
            <w:r w:rsidR="000E707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BE4FDB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Gestor de Actividades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en donde se encuentran los estudiantes acompañados. </w:t>
            </w:r>
          </w:p>
          <w:p w:rsidR="005C4E81" w:rsidRDefault="005C4E81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539"/>
              <w:gridCol w:w="540"/>
              <w:gridCol w:w="763"/>
              <w:gridCol w:w="763"/>
              <w:gridCol w:w="693"/>
              <w:gridCol w:w="897"/>
              <w:gridCol w:w="749"/>
              <w:gridCol w:w="756"/>
              <w:gridCol w:w="493"/>
              <w:gridCol w:w="842"/>
              <w:gridCol w:w="979"/>
              <w:gridCol w:w="748"/>
            </w:tblGrid>
            <w:tr w:rsidR="005C4E81" w:rsidTr="005C4E81"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Area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Area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Tipo Actividad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Nombre Actividad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Nombre Sesión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Número Documento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Nombres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Apellidos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Sexo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Estamento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Dependencia</w:t>
                  </w:r>
                </w:p>
              </w:tc>
              <w:tc>
                <w:tcPr>
                  <w:tcW w:w="417" w:type="pct"/>
                  <w:shd w:val="clear" w:color="auto" w:fill="1F497D" w:themeFill="text2"/>
                </w:tcPr>
                <w:p w:rsidR="005C4E81" w:rsidRPr="005C4E81" w:rsidRDefault="005C4E81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noProof/>
                      <w:color w:val="FFFFFF" w:themeColor="background1"/>
                      <w:sz w:val="14"/>
                      <w:szCs w:val="20"/>
                    </w:rPr>
                    <w:t>Fecha Aistencia</w:t>
                  </w:r>
                </w:p>
              </w:tc>
            </w:tr>
            <w:tr w:rsidR="005C4E81" w:rsidTr="005C4E81"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</w:tcPr>
                <w:p w:rsidR="005C4E81" w:rsidRDefault="005C4E8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BE4FDB" w:rsidRDefault="00BE4FDB" w:rsidP="002114F6">
            <w:pPr>
              <w:spacing w:line="0" w:lineRule="atLeast"/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</w:pPr>
            <w:r w:rsidRPr="00BE4FDB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Reporte </w:t>
            </w:r>
            <w:r w:rsidRPr="0045279F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Divisón de sistema con resultado de pruebas y notas</w:t>
            </w:r>
            <w:r w:rsidR="000E7076" w:rsidRPr="0045279F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 xml:space="preserve"> de matemáticas del periodo anterior. </w:t>
            </w:r>
          </w:p>
          <w:p w:rsidR="00F347C1" w:rsidRDefault="00F347C1" w:rsidP="002114F6">
            <w:pPr>
              <w:spacing w:line="0" w:lineRule="atLeast"/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</w:pPr>
          </w:p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851"/>
              <w:gridCol w:w="991"/>
              <w:gridCol w:w="960"/>
              <w:gridCol w:w="850"/>
              <w:gridCol w:w="1138"/>
              <w:gridCol w:w="1138"/>
              <w:gridCol w:w="562"/>
              <w:gridCol w:w="996"/>
            </w:tblGrid>
            <w:tr w:rsidR="00A122CD" w:rsidRPr="00A122CD" w:rsidTr="005C4E81">
              <w:trPr>
                <w:trHeight w:val="300"/>
              </w:trPr>
              <w:tc>
                <w:tcPr>
                  <w:tcW w:w="1150" w:type="dxa"/>
                  <w:shd w:val="clear" w:color="000000" w:fill="203764"/>
                  <w:noWrap/>
                  <w:hideMark/>
                </w:tcPr>
                <w:p w:rsidR="00A122CD" w:rsidRDefault="00A122CD" w:rsidP="005114E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Numero</w:t>
                  </w:r>
                </w:p>
                <w:p w:rsidR="00F347C1" w:rsidRPr="00A122CD" w:rsidRDefault="00A122CD" w:rsidP="005114E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s-CO" w:eastAsia="es-ES_tradn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do</w:t>
                  </w: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cumento</w:t>
                  </w:r>
                </w:p>
              </w:tc>
              <w:tc>
                <w:tcPr>
                  <w:tcW w:w="851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991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Programa</w:t>
                  </w:r>
                </w:p>
              </w:tc>
              <w:tc>
                <w:tcPr>
                  <w:tcW w:w="960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Aprobada</w:t>
                  </w:r>
                </w:p>
              </w:tc>
              <w:tc>
                <w:tcPr>
                  <w:tcW w:w="850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Puntaje</w:t>
                  </w:r>
                </w:p>
              </w:tc>
              <w:tc>
                <w:tcPr>
                  <w:tcW w:w="1138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Código Asignatura</w:t>
                  </w:r>
                </w:p>
              </w:tc>
              <w:tc>
                <w:tcPr>
                  <w:tcW w:w="1138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Asignatura</w:t>
                  </w:r>
                </w:p>
              </w:tc>
              <w:tc>
                <w:tcPr>
                  <w:tcW w:w="562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996" w:type="dxa"/>
                  <w:shd w:val="clear" w:color="000000" w:fill="203764"/>
                  <w:noWrap/>
                  <w:hideMark/>
                </w:tcPr>
                <w:p w:rsidR="00F347C1" w:rsidRPr="00A122CD" w:rsidRDefault="00A122CD" w:rsidP="005114E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Promedio</w:t>
                  </w:r>
                </w:p>
              </w:tc>
            </w:tr>
            <w:tr w:rsidR="00F347C1" w:rsidRPr="00A122CD" w:rsidTr="005C4E81">
              <w:trPr>
                <w:trHeight w:val="379"/>
              </w:trPr>
              <w:tc>
                <w:tcPr>
                  <w:tcW w:w="1150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F347C1" w:rsidRPr="00A122CD" w:rsidRDefault="00F347C1" w:rsidP="00BE042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5114ED">
        <w:trPr>
          <w:trHeight w:val="6000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4D6CCB" w:rsidRDefault="004D6CCB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522F2" w:rsidRDefault="00A122CD" w:rsidP="002114F6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Reporte atención a estudiantes:</w:t>
            </w:r>
          </w:p>
          <w:p w:rsidR="00A122CD" w:rsidRDefault="00A122CD" w:rsidP="002114F6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6520"/>
              <w:gridCol w:w="992"/>
            </w:tblGrid>
            <w:tr w:rsidR="00A122CD" w:rsidTr="005C4E81">
              <w:trPr>
                <w:trHeight w:val="369"/>
              </w:trPr>
              <w:tc>
                <w:tcPr>
                  <w:tcW w:w="6520" w:type="dxa"/>
                  <w:shd w:val="clear" w:color="auto" w:fill="1F497D" w:themeFill="text2"/>
                  <w:vAlign w:val="center"/>
                </w:tcPr>
                <w:p w:rsidR="00A122CD" w:rsidRPr="00A122CD" w:rsidRDefault="00A122CD" w:rsidP="00A122C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Total atendidos en el proceso formativo</w:t>
                  </w:r>
                </w:p>
              </w:tc>
              <w:tc>
                <w:tcPr>
                  <w:tcW w:w="992" w:type="dxa"/>
                  <w:shd w:val="clear" w:color="auto" w:fill="1F497D" w:themeFill="text2"/>
                  <w:vAlign w:val="center"/>
                </w:tcPr>
                <w:p w:rsidR="00A122CD" w:rsidRP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Total</w:t>
                  </w:r>
                </w:p>
              </w:tc>
            </w:tr>
            <w:tr w:rsidR="00A122CD" w:rsidTr="005C4E81">
              <w:tc>
                <w:tcPr>
                  <w:tcW w:w="6520" w:type="dxa"/>
                </w:tcPr>
                <w:p w:rsidR="00A122CD" w:rsidRDefault="00A122CD" w:rsidP="002114F6">
                  <w:pPr>
                    <w:spacing w:line="0" w:lineRule="atLeast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Número total de estudiantes (atendidos en monitorias) Reporte Gestor de Actividades</w:t>
                  </w:r>
                </w:p>
              </w:tc>
              <w:tc>
                <w:tcPr>
                  <w:tcW w:w="992" w:type="dxa"/>
                </w:tcPr>
                <w:p w:rsid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122CD" w:rsidTr="005C4E81">
              <w:trPr>
                <w:trHeight w:val="465"/>
              </w:trPr>
              <w:tc>
                <w:tcPr>
                  <w:tcW w:w="6520" w:type="dxa"/>
                  <w:shd w:val="clear" w:color="auto" w:fill="B8CCE4" w:themeFill="accent1" w:themeFillTint="66"/>
                  <w:vAlign w:val="center"/>
                </w:tcPr>
                <w:p w:rsidR="00A122CD" w:rsidRPr="00A122CD" w:rsidRDefault="00A122CD" w:rsidP="00A122C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Total estudiantes que requieren acompañamiento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vAlign w:val="center"/>
                </w:tcPr>
                <w:p w:rsidR="00A122CD" w:rsidRP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A122CD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A122CD" w:rsidTr="005C4E81">
              <w:tc>
                <w:tcPr>
                  <w:tcW w:w="6520" w:type="dxa"/>
                </w:tcPr>
                <w:p w:rsidR="00A122CD" w:rsidRDefault="00A122CD" w:rsidP="005C4E81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Total </w:t>
                  </w:r>
                  <w:r w:rsidR="005C4E81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estudiantes que pierden la prueba de matemáticas (validación, clasificatoria, diagnóstica) semestre n</w:t>
                  </w:r>
                </w:p>
              </w:tc>
              <w:tc>
                <w:tcPr>
                  <w:tcW w:w="992" w:type="dxa"/>
                </w:tcPr>
                <w:p w:rsid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122CD" w:rsidTr="005C4E81">
              <w:tc>
                <w:tcPr>
                  <w:tcW w:w="6520" w:type="dxa"/>
                </w:tcPr>
                <w:p w:rsidR="00A122CD" w:rsidRDefault="00A122CD" w:rsidP="005C4E81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Total </w:t>
                  </w:r>
                  <w:r w:rsidR="005C4E81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estudiantes que quedan en nivel literal en la prueba de comprensión lectora semestre n</w:t>
                  </w:r>
                </w:p>
              </w:tc>
              <w:tc>
                <w:tcPr>
                  <w:tcW w:w="992" w:type="dxa"/>
                </w:tcPr>
                <w:p w:rsid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122CD" w:rsidTr="005C4E81">
              <w:tc>
                <w:tcPr>
                  <w:tcW w:w="6520" w:type="dxa"/>
                </w:tcPr>
                <w:p w:rsidR="00A122CD" w:rsidRDefault="005C4E81" w:rsidP="005C4E81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Total de</w:t>
                  </w:r>
                  <w:r w:rsidR="00A122CD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estudiantes que perdieron matemática o canceló dicha asignatura y la cual fue vista en primer semestre. Semestre inmediatamente anterior</w:t>
                  </w:r>
                </w:p>
              </w:tc>
              <w:tc>
                <w:tcPr>
                  <w:tcW w:w="992" w:type="dxa"/>
                </w:tcPr>
                <w:p w:rsid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122CD" w:rsidTr="005C4E81">
              <w:tc>
                <w:tcPr>
                  <w:tcW w:w="6520" w:type="dxa"/>
                </w:tcPr>
                <w:p w:rsidR="00A122CD" w:rsidRDefault="00A122CD" w:rsidP="005C4E81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Total</w:t>
                  </w:r>
                  <w:r w:rsidR="005C4E81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estudiantes matriculados en asignaturas marcadas para monitorias académicas semestre n</w:t>
                  </w:r>
                </w:p>
              </w:tc>
              <w:tc>
                <w:tcPr>
                  <w:tcW w:w="992" w:type="dxa"/>
                </w:tcPr>
                <w:p w:rsidR="00A122CD" w:rsidRDefault="00A122CD" w:rsidP="005C4E8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75C1" w:rsidRPr="00504025" w:rsidRDefault="003575C1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512"/>
            </w:tblGrid>
            <w:tr w:rsidR="005C4E81" w:rsidTr="005C4E81">
              <w:trPr>
                <w:trHeight w:val="427"/>
              </w:trPr>
              <w:tc>
                <w:tcPr>
                  <w:tcW w:w="7512" w:type="dxa"/>
                  <w:shd w:val="clear" w:color="auto" w:fill="1F497D" w:themeFill="text2"/>
                  <w:vAlign w:val="center"/>
                </w:tcPr>
                <w:p w:rsidR="005C4E81" w:rsidRDefault="005C4E81" w:rsidP="003575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Indicador</w:t>
                  </w:r>
                </w:p>
              </w:tc>
            </w:tr>
            <w:tr w:rsidR="005C4E81" w:rsidTr="005C4E81">
              <w:tc>
                <w:tcPr>
                  <w:tcW w:w="7512" w:type="dxa"/>
                  <w:shd w:val="clear" w:color="auto" w:fill="B8CCE4" w:themeFill="accent1" w:themeFillTint="66"/>
                </w:tcPr>
                <w:p w:rsidR="005C4E81" w:rsidRDefault="005C4E81" w:rsidP="003575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5C4E81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Estudiantes acompañados en el proceso formativo</w:t>
                  </w:r>
                </w:p>
              </w:tc>
            </w:tr>
            <w:tr w:rsidR="005C4E81" w:rsidTr="005C4E81">
              <w:trPr>
                <w:trHeight w:val="451"/>
              </w:trPr>
              <w:tc>
                <w:tcPr>
                  <w:tcW w:w="7512" w:type="dxa"/>
                  <w:vAlign w:val="center"/>
                </w:tcPr>
                <w:p w:rsidR="005C4E81" w:rsidRDefault="005C4E81" w:rsidP="003575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70%</w:t>
                  </w:r>
                </w:p>
              </w:tc>
            </w:tr>
          </w:tbl>
          <w:p w:rsidR="00807899" w:rsidRPr="00F43234" w:rsidRDefault="00807899" w:rsidP="00D6274A">
            <w:pPr>
              <w:spacing w:line="0" w:lineRule="atLeast"/>
              <w:rPr>
                <w:noProof/>
                <w:lang w:val="es-CO" w:eastAsia="es-CO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5114ED" w:rsidRDefault="005114ED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5114ED" w:rsidRDefault="005114ED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F43234" w:rsidRDefault="00E8012E" w:rsidP="00F4323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</w:p>
    <w:p w:rsidR="00A122CD" w:rsidRDefault="00A122C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117DBF" w:rsidRPr="00CF29F3" w:rsidTr="00CF29F3">
        <w:trPr>
          <w:jc w:val="center"/>
        </w:trPr>
        <w:tc>
          <w:tcPr>
            <w:tcW w:w="1129" w:type="dxa"/>
            <w:vAlign w:val="center"/>
          </w:tcPr>
          <w:p w:rsidR="00117DBF" w:rsidRPr="00CF29F3" w:rsidRDefault="00117DBF" w:rsidP="00117D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17DBF" w:rsidRPr="00CF29F3" w:rsidRDefault="00117DBF" w:rsidP="00117DB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117DBF" w:rsidRPr="00CF29F3" w:rsidRDefault="00117DBF" w:rsidP="00117D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117DBF" w:rsidRPr="00CF29F3" w:rsidRDefault="00117DBF" w:rsidP="00117DB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117DBF" w:rsidRPr="00CF29F3" w:rsidRDefault="00117DBF" w:rsidP="00117D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4A747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B22E5F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8B" w:rsidRDefault="00D4338B">
      <w:r>
        <w:separator/>
      </w:r>
    </w:p>
  </w:endnote>
  <w:endnote w:type="continuationSeparator" w:id="0">
    <w:p w:rsidR="00D4338B" w:rsidRDefault="00D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8B" w:rsidRDefault="00D4338B">
      <w:r>
        <w:separator/>
      </w:r>
    </w:p>
  </w:footnote>
  <w:footnote w:type="continuationSeparator" w:id="0">
    <w:p w:rsidR="00D4338B" w:rsidRDefault="00D4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3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34135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34135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A5895"/>
    <w:multiLevelType w:val="hybridMultilevel"/>
    <w:tmpl w:val="7B784B8A"/>
    <w:lvl w:ilvl="0" w:tplc="465822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8"/>
  </w:num>
  <w:num w:numId="17">
    <w:abstractNumId w:val="0"/>
  </w:num>
  <w:num w:numId="18">
    <w:abstractNumId w:val="5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26EEE"/>
    <w:rsid w:val="00036D46"/>
    <w:rsid w:val="000408E7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21DF"/>
    <w:rsid w:val="000C731D"/>
    <w:rsid w:val="000C7A6A"/>
    <w:rsid w:val="000D1CDC"/>
    <w:rsid w:val="000D2F9C"/>
    <w:rsid w:val="000E0EB2"/>
    <w:rsid w:val="000E1695"/>
    <w:rsid w:val="000E18AB"/>
    <w:rsid w:val="000E24DB"/>
    <w:rsid w:val="000E6055"/>
    <w:rsid w:val="000E63D8"/>
    <w:rsid w:val="000E7076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17DBF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D3BE6"/>
    <w:rsid w:val="001D6FE1"/>
    <w:rsid w:val="001E485A"/>
    <w:rsid w:val="001E64A1"/>
    <w:rsid w:val="001F5100"/>
    <w:rsid w:val="001F5702"/>
    <w:rsid w:val="002006FB"/>
    <w:rsid w:val="00205372"/>
    <w:rsid w:val="002056C2"/>
    <w:rsid w:val="002106B5"/>
    <w:rsid w:val="002114F6"/>
    <w:rsid w:val="002142F3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0C50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6923"/>
    <w:rsid w:val="00307CD2"/>
    <w:rsid w:val="003131F7"/>
    <w:rsid w:val="0031349C"/>
    <w:rsid w:val="00314065"/>
    <w:rsid w:val="0031434B"/>
    <w:rsid w:val="00322F74"/>
    <w:rsid w:val="00323FCC"/>
    <w:rsid w:val="00330F93"/>
    <w:rsid w:val="003325F7"/>
    <w:rsid w:val="00333898"/>
    <w:rsid w:val="00333FE8"/>
    <w:rsid w:val="0033485B"/>
    <w:rsid w:val="00341359"/>
    <w:rsid w:val="00342429"/>
    <w:rsid w:val="00344129"/>
    <w:rsid w:val="00344701"/>
    <w:rsid w:val="00347179"/>
    <w:rsid w:val="00350C5F"/>
    <w:rsid w:val="00354025"/>
    <w:rsid w:val="00356827"/>
    <w:rsid w:val="0035731B"/>
    <w:rsid w:val="003575C1"/>
    <w:rsid w:val="00360680"/>
    <w:rsid w:val="00361004"/>
    <w:rsid w:val="00364B2D"/>
    <w:rsid w:val="0036506A"/>
    <w:rsid w:val="0037372C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B4B71"/>
    <w:rsid w:val="003D7E74"/>
    <w:rsid w:val="003E274B"/>
    <w:rsid w:val="003E34AF"/>
    <w:rsid w:val="003E4E68"/>
    <w:rsid w:val="003F14AA"/>
    <w:rsid w:val="003F7165"/>
    <w:rsid w:val="003F7FCE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66C4"/>
    <w:rsid w:val="0045279F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4825"/>
    <w:rsid w:val="004870E4"/>
    <w:rsid w:val="00493C78"/>
    <w:rsid w:val="00494540"/>
    <w:rsid w:val="004A03EC"/>
    <w:rsid w:val="004A1524"/>
    <w:rsid w:val="004A2B08"/>
    <w:rsid w:val="004A3746"/>
    <w:rsid w:val="004A5674"/>
    <w:rsid w:val="004A6C89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6CCB"/>
    <w:rsid w:val="004D7A56"/>
    <w:rsid w:val="004E4B07"/>
    <w:rsid w:val="004E7E4B"/>
    <w:rsid w:val="004F3697"/>
    <w:rsid w:val="004F5112"/>
    <w:rsid w:val="004F5A91"/>
    <w:rsid w:val="00500B60"/>
    <w:rsid w:val="00504025"/>
    <w:rsid w:val="005048B0"/>
    <w:rsid w:val="00505204"/>
    <w:rsid w:val="005105A3"/>
    <w:rsid w:val="00510729"/>
    <w:rsid w:val="00511298"/>
    <w:rsid w:val="005114ED"/>
    <w:rsid w:val="00516803"/>
    <w:rsid w:val="005355B1"/>
    <w:rsid w:val="00536763"/>
    <w:rsid w:val="00537D8A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4E81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0F9B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6096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8B7"/>
    <w:rsid w:val="00716C84"/>
    <w:rsid w:val="0071787E"/>
    <w:rsid w:val="00720773"/>
    <w:rsid w:val="00721657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43C1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5EF6"/>
    <w:rsid w:val="007A726B"/>
    <w:rsid w:val="007B2480"/>
    <w:rsid w:val="007B4CB6"/>
    <w:rsid w:val="007B6272"/>
    <w:rsid w:val="007C4517"/>
    <w:rsid w:val="007D58B0"/>
    <w:rsid w:val="007E2F15"/>
    <w:rsid w:val="007E6943"/>
    <w:rsid w:val="007E6ED4"/>
    <w:rsid w:val="007F624A"/>
    <w:rsid w:val="007F7EFC"/>
    <w:rsid w:val="00800136"/>
    <w:rsid w:val="00804F40"/>
    <w:rsid w:val="008052AE"/>
    <w:rsid w:val="00805B8F"/>
    <w:rsid w:val="00807899"/>
    <w:rsid w:val="00812CB7"/>
    <w:rsid w:val="008150B8"/>
    <w:rsid w:val="00817301"/>
    <w:rsid w:val="00820821"/>
    <w:rsid w:val="008222CB"/>
    <w:rsid w:val="0082401A"/>
    <w:rsid w:val="008309EC"/>
    <w:rsid w:val="00832E14"/>
    <w:rsid w:val="00833163"/>
    <w:rsid w:val="0084161F"/>
    <w:rsid w:val="00842C59"/>
    <w:rsid w:val="00842E0A"/>
    <w:rsid w:val="00847891"/>
    <w:rsid w:val="008553FC"/>
    <w:rsid w:val="00863C18"/>
    <w:rsid w:val="00865900"/>
    <w:rsid w:val="008664F5"/>
    <w:rsid w:val="008752B3"/>
    <w:rsid w:val="00885C7E"/>
    <w:rsid w:val="0089045D"/>
    <w:rsid w:val="00894DEC"/>
    <w:rsid w:val="0089608A"/>
    <w:rsid w:val="00896970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10A0"/>
    <w:rsid w:val="00942926"/>
    <w:rsid w:val="00946A81"/>
    <w:rsid w:val="00947BE5"/>
    <w:rsid w:val="00953228"/>
    <w:rsid w:val="0097292D"/>
    <w:rsid w:val="00972E53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0B77"/>
    <w:rsid w:val="009C17EA"/>
    <w:rsid w:val="009C3B9A"/>
    <w:rsid w:val="009D28C7"/>
    <w:rsid w:val="009D3DE4"/>
    <w:rsid w:val="009F3783"/>
    <w:rsid w:val="009F46B9"/>
    <w:rsid w:val="009F5809"/>
    <w:rsid w:val="00A00D6F"/>
    <w:rsid w:val="00A019FD"/>
    <w:rsid w:val="00A06B1E"/>
    <w:rsid w:val="00A111A1"/>
    <w:rsid w:val="00A12134"/>
    <w:rsid w:val="00A1222F"/>
    <w:rsid w:val="00A122CD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65D0E"/>
    <w:rsid w:val="00A7054E"/>
    <w:rsid w:val="00A762F7"/>
    <w:rsid w:val="00A81B24"/>
    <w:rsid w:val="00A8724C"/>
    <w:rsid w:val="00A92094"/>
    <w:rsid w:val="00A952A2"/>
    <w:rsid w:val="00A95F83"/>
    <w:rsid w:val="00AA0E9F"/>
    <w:rsid w:val="00AA1D3C"/>
    <w:rsid w:val="00AA2BD1"/>
    <w:rsid w:val="00AA4BD5"/>
    <w:rsid w:val="00AA55A3"/>
    <w:rsid w:val="00AA6770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922"/>
    <w:rsid w:val="00AE7DC8"/>
    <w:rsid w:val="00AF1DD5"/>
    <w:rsid w:val="00AF3D94"/>
    <w:rsid w:val="00AF4897"/>
    <w:rsid w:val="00AF5F20"/>
    <w:rsid w:val="00B008A3"/>
    <w:rsid w:val="00B01685"/>
    <w:rsid w:val="00B049AE"/>
    <w:rsid w:val="00B05843"/>
    <w:rsid w:val="00B114CF"/>
    <w:rsid w:val="00B1186C"/>
    <w:rsid w:val="00B12C28"/>
    <w:rsid w:val="00B203CF"/>
    <w:rsid w:val="00B22E5F"/>
    <w:rsid w:val="00B23311"/>
    <w:rsid w:val="00B244F9"/>
    <w:rsid w:val="00B27ED0"/>
    <w:rsid w:val="00B3241D"/>
    <w:rsid w:val="00B41567"/>
    <w:rsid w:val="00B429BC"/>
    <w:rsid w:val="00B462F4"/>
    <w:rsid w:val="00B46688"/>
    <w:rsid w:val="00B53B3F"/>
    <w:rsid w:val="00B648E9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3E1"/>
    <w:rsid w:val="00BA4B52"/>
    <w:rsid w:val="00BA762F"/>
    <w:rsid w:val="00BB2C7F"/>
    <w:rsid w:val="00BB4682"/>
    <w:rsid w:val="00BC058B"/>
    <w:rsid w:val="00BC56E3"/>
    <w:rsid w:val="00BD633A"/>
    <w:rsid w:val="00BE0429"/>
    <w:rsid w:val="00BE2A3C"/>
    <w:rsid w:val="00BE3267"/>
    <w:rsid w:val="00BE43E7"/>
    <w:rsid w:val="00BE4FDB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27B62"/>
    <w:rsid w:val="00C318D8"/>
    <w:rsid w:val="00C337C7"/>
    <w:rsid w:val="00C363D4"/>
    <w:rsid w:val="00C4553C"/>
    <w:rsid w:val="00C4677F"/>
    <w:rsid w:val="00C50232"/>
    <w:rsid w:val="00C539A1"/>
    <w:rsid w:val="00C5442B"/>
    <w:rsid w:val="00C566B0"/>
    <w:rsid w:val="00C60860"/>
    <w:rsid w:val="00C63960"/>
    <w:rsid w:val="00C65AC7"/>
    <w:rsid w:val="00C66888"/>
    <w:rsid w:val="00C67AA2"/>
    <w:rsid w:val="00C707BE"/>
    <w:rsid w:val="00C7349C"/>
    <w:rsid w:val="00C77827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2DC3"/>
    <w:rsid w:val="00CB3D95"/>
    <w:rsid w:val="00CB7A63"/>
    <w:rsid w:val="00CC24EE"/>
    <w:rsid w:val="00CC41AA"/>
    <w:rsid w:val="00CC446B"/>
    <w:rsid w:val="00CD1393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1258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2280"/>
    <w:rsid w:val="00D241CD"/>
    <w:rsid w:val="00D32AA8"/>
    <w:rsid w:val="00D347F6"/>
    <w:rsid w:val="00D40901"/>
    <w:rsid w:val="00D41283"/>
    <w:rsid w:val="00D42D80"/>
    <w:rsid w:val="00D4338B"/>
    <w:rsid w:val="00D46808"/>
    <w:rsid w:val="00D47949"/>
    <w:rsid w:val="00D515DF"/>
    <w:rsid w:val="00D522F2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C2C"/>
    <w:rsid w:val="00E00E13"/>
    <w:rsid w:val="00E03A82"/>
    <w:rsid w:val="00E054D3"/>
    <w:rsid w:val="00E0731F"/>
    <w:rsid w:val="00E12BDA"/>
    <w:rsid w:val="00E170AF"/>
    <w:rsid w:val="00E2185E"/>
    <w:rsid w:val="00E26FB3"/>
    <w:rsid w:val="00E30539"/>
    <w:rsid w:val="00E329CC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4CD4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05D39"/>
    <w:rsid w:val="00F1533D"/>
    <w:rsid w:val="00F21C5F"/>
    <w:rsid w:val="00F244F1"/>
    <w:rsid w:val="00F24B46"/>
    <w:rsid w:val="00F27E6F"/>
    <w:rsid w:val="00F30B2E"/>
    <w:rsid w:val="00F31E54"/>
    <w:rsid w:val="00F347C1"/>
    <w:rsid w:val="00F43234"/>
    <w:rsid w:val="00F43A75"/>
    <w:rsid w:val="00F50800"/>
    <w:rsid w:val="00F537DA"/>
    <w:rsid w:val="00F5465E"/>
    <w:rsid w:val="00F56736"/>
    <w:rsid w:val="00F576B4"/>
    <w:rsid w:val="00F75544"/>
    <w:rsid w:val="00F81F21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63EE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64</cp:revision>
  <cp:lastPrinted>2020-03-04T21:22:00Z</cp:lastPrinted>
  <dcterms:created xsi:type="dcterms:W3CDTF">2020-01-22T16:36:00Z</dcterms:created>
  <dcterms:modified xsi:type="dcterms:W3CDTF">2020-04-27T22:34:00Z</dcterms:modified>
</cp:coreProperties>
</file>