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D47A5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2D47A5" w:rsidRPr="00504025" w:rsidRDefault="002D47A5" w:rsidP="002D47A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CEA0503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47A5" w:rsidRPr="0041438F" w:rsidRDefault="002D47A5" w:rsidP="002D47A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47A5" w:rsidRPr="0041438F" w:rsidRDefault="002D47A5" w:rsidP="002D47A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2D47A5" w:rsidRPr="0041438F" w:rsidRDefault="002D47A5" w:rsidP="002D47A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2D47A5" w:rsidRPr="0041438F" w:rsidRDefault="002D47A5" w:rsidP="002D47A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espacios físicos interactivos disponibles para uso de la comunidad UTP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espacios físicos interactivos, adecuados, dotados e instalados disponibles para uso de la  comunidad UTP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73AB7" w:rsidRPr="00960F8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973AB7" w:rsidRPr="006C7F68" w:rsidRDefault="00E8012E" w:rsidP="00973AB7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973AB7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973AB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973AB7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973AB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973AB7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973AB7" w:rsidP="00973AB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256298" w:rsidRDefault="00E8012E" w:rsidP="00453FBC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562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256298" w:rsidRPr="00504025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256298" w:rsidRPr="00787881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11. RECURSOS DE APOYO ACADÉMICO E INFRAESTRUCTURA FÍSICA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256298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28. Recursos de apoyo académico</w:t>
            </w:r>
          </w:p>
          <w:p w:rsidR="00256298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Suficiencia, disponibilidad, actualización y uso eficiente de tecnologías de la información y la comunicación para los procesos académicos con adecuada conectividad (aulas virtuales, equipos actualizados y pertinentes, aplicaciones específicas, entre otros.).</w:t>
            </w:r>
          </w:p>
          <w:p w:rsidR="00256298" w:rsidRPr="002673E2" w:rsidRDefault="00256298" w:rsidP="0025629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9C164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Acceso a recursos externos de apoyo académico, mediante convenios interinstitucionales.</w:t>
            </w:r>
          </w:p>
          <w:p w:rsidR="00256298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562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 29. Infraestructura física</w:t>
            </w:r>
          </w:p>
          <w:p w:rsidR="00256298" w:rsidRDefault="00256298" w:rsidP="0025629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2562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A. </w:t>
            </w:r>
            <w:r w:rsidRPr="00256298">
              <w:rPr>
                <w:rFonts w:asciiTheme="minorHAnsi" w:hAnsiTheme="minorHAnsi" w:cs="Arial"/>
                <w:sz w:val="20"/>
                <w:szCs w:val="20"/>
                <w:lang w:val="es-CO"/>
              </w:rPr>
              <w:t>Existencia y uso eficiente de aulas ,laboratorios, talleres, sitios de estudio para los alumnos, salas de cómputo, oficinas de profesores, sitios para la creación artística y cultural, auditorios y salas de conferencias, oficinas administrativas, cafeterías, baños, servicios, campos de juego, espacios libres, zonas verdes y además espacios destinados al bienestar en general.</w:t>
            </w:r>
          </w:p>
          <w:p w:rsidR="00256298" w:rsidRPr="00256298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256298" w:rsidRPr="00787881" w:rsidRDefault="00256298" w:rsidP="002562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7.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256298" w:rsidRDefault="00256298" w:rsidP="00256298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19. Institución y entorno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:rsidR="00E8012E" w:rsidRPr="00787881" w:rsidRDefault="00256298" w:rsidP="0025629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Pr="00B704F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J. </w:t>
            </w:r>
            <w:r w:rsidRPr="002673E2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de iniciativas de transferencia del conocimiento científico y tecnológico que permitan la efectiva integración a contextos locales y sociales  específicos, contribuyendo a su desarrollo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 de medición: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12125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:rsidR="005A0D6E" w:rsidRDefault="005A0D6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Oficina de Planeación</w:t>
            </w:r>
          </w:p>
          <w:p w:rsidR="005A0D6E" w:rsidRDefault="005A0D6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Académicas</w:t>
            </w:r>
          </w:p>
          <w:p w:rsidR="005A0D6E" w:rsidRPr="00504025" w:rsidRDefault="005A0D6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CRIE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3C05F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3C05F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8B3218">
              <w:rPr>
                <w:rFonts w:asciiTheme="minorHAnsi" w:hAnsiTheme="minorHAnsi" w:cs="Arial"/>
                <w:sz w:val="20"/>
                <w:szCs w:val="20"/>
                <w:lang w:val="es-CO"/>
              </w:rPr>
              <w:t>– Centro de Recursos Informáticos y Educativos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B3218">
              <w:rPr>
                <w:rFonts w:asciiTheme="minorHAnsi" w:hAnsiTheme="minorHAnsi" w:cs="Arial"/>
                <w:sz w:val="20"/>
                <w:szCs w:val="20"/>
                <w:lang w:val="es-CO"/>
              </w:rPr>
              <w:t>– Centro de Recursos Informáticos y Educativos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8B3218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Espacio Interactivo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Sala, salón o cualquier espacio físico cuyo diseño</w:t>
            </w:r>
            <w:r w:rsidR="003C05FF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amueblamiento y dotación tecnológica permita el desarrollo de actividades</w:t>
            </w:r>
            <w:r w:rsidR="003C05FF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que fomenten la interacción entre todos los participantes de las actividades académicas y/o lúdicas que en ellos se realicen. </w:t>
            </w:r>
          </w:p>
          <w:p w:rsidR="003C05FF" w:rsidRDefault="003C05FF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3C05FF" w:rsidRPr="003C05FF" w:rsidRDefault="003C05FF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Espacio disponible: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Espacio interactivo listo para su uso, ya sea fruto de remodelación o construcción completa.</w:t>
            </w: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espacios físicos interactivos disponibles para uso de la comunidad UTP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espacios interactivos disponibles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3C05FF" w:rsidP="003C05F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3C05FF">
              <w:rPr>
                <w:rFonts w:asciiTheme="minorHAnsi" w:hAnsiTheme="minorHAnsi" w:cs="Arial"/>
                <w:sz w:val="20"/>
                <w:szCs w:val="20"/>
                <w:lang w:val="es-CO"/>
              </w:rPr>
              <w:t>La medición se hará al final de cada año calendario tomando en cuenta todos los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nuevos </w:t>
            </w:r>
            <w:r w:rsidRPr="003C05F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espacios</w:t>
            </w:r>
            <w:proofErr w:type="gramEnd"/>
            <w:r w:rsidRPr="003C05F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interactivos disponibles para su uso en las actividades en cualquiera de los edificios del Campus U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niversitario o una de las </w:t>
            </w:r>
            <w:r w:rsidRPr="003C05F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sedes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alternas (Sede Ciencias Clínicas – Centro desarrollo Vecinal –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).</w:t>
            </w:r>
          </w:p>
          <w:p w:rsidR="00DC746E" w:rsidRPr="00D47949" w:rsidRDefault="00DC746E" w:rsidP="003C05F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C242E6" w:rsidRPr="00B90D01" w:rsidRDefault="00C242E6" w:rsidP="002114F6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</w:pPr>
          </w:p>
          <w:tbl>
            <w:tblPr>
              <w:tblW w:w="7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752"/>
              <w:gridCol w:w="1286"/>
              <w:gridCol w:w="1782"/>
              <w:gridCol w:w="1083"/>
            </w:tblGrid>
            <w:tr w:rsidR="00C242E6" w:rsidTr="00C242E6">
              <w:trPr>
                <w:trHeight w:val="330"/>
              </w:trPr>
              <w:tc>
                <w:tcPr>
                  <w:tcW w:w="710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Espacios Interactivos disponibles</w:t>
                  </w:r>
                </w:p>
              </w:tc>
            </w:tr>
            <w:tr w:rsidR="00C242E6" w:rsidTr="00C242E6">
              <w:trPr>
                <w:trHeight w:val="630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Nombre</w:t>
                  </w:r>
                </w:p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Espacio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Identificación  espacio (Nomenclatura)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Edificio No.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Área (m</w:t>
                  </w:r>
                  <w:r w:rsidRPr="00C242E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val="es-CO" w:eastAsia="es-CO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)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Capacidad (No. De personas)</w:t>
                  </w:r>
                </w:p>
              </w:tc>
            </w:tr>
            <w:tr w:rsidR="00C242E6" w:rsidTr="00C242E6">
              <w:trPr>
                <w:trHeight w:val="315"/>
              </w:trPr>
              <w:tc>
                <w:tcPr>
                  <w:tcW w:w="12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 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C242E6" w:rsidRDefault="00C242E6" w:rsidP="00C242E6">
                  <w:pPr>
                    <w:widowControl/>
                    <w:adjustRightInd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</w:tbl>
          <w:p w:rsidR="00E8012E" w:rsidRPr="00B90D01" w:rsidRDefault="00E8012E" w:rsidP="002114F6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</w:pPr>
          </w:p>
          <w:p w:rsidR="00DC746E" w:rsidRPr="007236B6" w:rsidRDefault="00DC746E" w:rsidP="007236B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236B6">
              <w:rPr>
                <w:rFonts w:asciiTheme="minorHAnsi" w:hAnsiTheme="minorHAnsi" w:cs="Arial"/>
                <w:noProof/>
                <w:sz w:val="20"/>
                <w:szCs w:val="20"/>
              </w:rPr>
              <w:t>Actas de seguimientos visitas otras instituciones educativas</w:t>
            </w:r>
          </w:p>
          <w:p w:rsidR="00DC746E" w:rsidRPr="007236B6" w:rsidRDefault="00DC746E" w:rsidP="007236B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236B6">
              <w:rPr>
                <w:rFonts w:asciiTheme="minorHAnsi" w:hAnsiTheme="minorHAnsi" w:cs="Arial"/>
                <w:noProof/>
                <w:sz w:val="20"/>
                <w:szCs w:val="20"/>
              </w:rPr>
              <w:t>Actas reuniones con proveedores de tecnologías interactivas o similares</w:t>
            </w:r>
          </w:p>
          <w:p w:rsidR="00DC746E" w:rsidRPr="007236B6" w:rsidRDefault="00DC746E" w:rsidP="007236B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236B6">
              <w:rPr>
                <w:rFonts w:asciiTheme="minorHAnsi" w:hAnsiTheme="minorHAnsi" w:cs="Arial"/>
                <w:noProof/>
                <w:sz w:val="20"/>
                <w:szCs w:val="20"/>
              </w:rPr>
              <w:t>Términos de referncia compra de equipos, construcción o adecuación de espacios según sea el caso.</w:t>
            </w:r>
          </w:p>
          <w:p w:rsidR="00DC746E" w:rsidRPr="007236B6" w:rsidRDefault="00DC746E" w:rsidP="007236B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236B6">
              <w:rPr>
                <w:rFonts w:asciiTheme="minorHAnsi" w:hAnsiTheme="minorHAnsi" w:cs="Arial"/>
                <w:noProof/>
                <w:sz w:val="20"/>
                <w:szCs w:val="20"/>
              </w:rPr>
              <w:t>Diseños de espacios</w:t>
            </w:r>
          </w:p>
          <w:p w:rsidR="00E8012E" w:rsidRPr="007236B6" w:rsidRDefault="00DC746E" w:rsidP="007236B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236B6">
              <w:rPr>
                <w:rFonts w:asciiTheme="minorHAnsi" w:hAnsiTheme="minorHAnsi" w:cs="Arial"/>
                <w:noProof/>
                <w:sz w:val="20"/>
                <w:szCs w:val="20"/>
              </w:rPr>
              <w:t>Acta de entrega de espacios</w:t>
            </w:r>
          </w:p>
        </w:tc>
      </w:tr>
      <w:tr w:rsidR="00F02773" w:rsidRPr="00504025" w:rsidTr="009F5809">
        <w:trPr>
          <w:trHeight w:val="397"/>
        </w:trPr>
        <w:tc>
          <w:tcPr>
            <w:tcW w:w="8988" w:type="dxa"/>
            <w:vAlign w:val="center"/>
          </w:tcPr>
          <w:p w:rsidR="00F02773" w:rsidRPr="00504025" w:rsidRDefault="00F02773" w:rsidP="00F0277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F02773" w:rsidRPr="00504025" w:rsidRDefault="00F02773" w:rsidP="00F02773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Avance indicador 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Número de espacios físicos interactivos disponibles para uso de la comunidad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UTP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4"/>
              <w:gridCol w:w="2454"/>
              <w:gridCol w:w="2495"/>
              <w:gridCol w:w="1359"/>
            </w:tblGrid>
            <w:tr w:rsidR="00F02773" w:rsidTr="0087252D">
              <w:trPr>
                <w:jc w:val="center"/>
              </w:trPr>
              <w:tc>
                <w:tcPr>
                  <w:tcW w:w="2454" w:type="dxa"/>
                  <w:shd w:val="clear" w:color="auto" w:fill="95B3D7" w:themeFill="accent1" w:themeFillTint="99"/>
                </w:tcPr>
                <w:p w:rsidR="00F02773" w:rsidRPr="0050052C" w:rsidRDefault="00F02773" w:rsidP="00F027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Número de espacios físicos interactivos disponibles para uso de la comunidad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UTP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F02773" w:rsidRPr="0050052C" w:rsidRDefault="00F02773" w:rsidP="00F027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50052C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Avance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:rsidR="00F02773" w:rsidRPr="0050052C" w:rsidRDefault="00F02773" w:rsidP="00F027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50052C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</w:t>
                  </w:r>
                </w:p>
              </w:tc>
              <w:tc>
                <w:tcPr>
                  <w:tcW w:w="1359" w:type="dxa"/>
                </w:tcPr>
                <w:p w:rsidR="00F02773" w:rsidRPr="0050052C" w:rsidRDefault="00F02773" w:rsidP="00F027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50052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Meta 2020</w:t>
                  </w:r>
                </w:p>
              </w:tc>
            </w:tr>
          </w:tbl>
          <w:p w:rsidR="00F02773" w:rsidRPr="00504025" w:rsidRDefault="00F02773" w:rsidP="00F02773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</w:t>
      </w:r>
      <w:r w:rsidR="001C441B">
        <w:rPr>
          <w:rFonts w:asciiTheme="minorHAnsi" w:hAnsiTheme="minorHAnsi" w:cs="Arial"/>
          <w:b/>
          <w:bCs/>
          <w:noProof/>
          <w:sz w:val="20"/>
          <w:szCs w:val="20"/>
        </w:rPr>
        <w:t>n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ier</w:t>
      </w:r>
      <w:r w:rsidR="001C441B">
        <w:rPr>
          <w:rFonts w:asciiTheme="minorHAnsi" w:hAnsiTheme="minorHAnsi" w:cs="Arial"/>
          <w:b/>
          <w:bCs/>
          <w:noProof/>
          <w:sz w:val="20"/>
          <w:szCs w:val="20"/>
        </w:rPr>
        <w:t>s</w:t>
      </w: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 xml:space="preserve">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F4701B" w:rsidRPr="00CF29F3" w:rsidTr="00CF29F3">
        <w:trPr>
          <w:jc w:val="center"/>
        </w:trPr>
        <w:tc>
          <w:tcPr>
            <w:tcW w:w="1129" w:type="dxa"/>
            <w:vAlign w:val="center"/>
          </w:tcPr>
          <w:p w:rsidR="00F4701B" w:rsidRPr="00CF29F3" w:rsidRDefault="00F4701B" w:rsidP="00F470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4701B" w:rsidRPr="00CF29F3" w:rsidRDefault="00F4701B" w:rsidP="00F470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F4701B" w:rsidRPr="00CF29F3" w:rsidRDefault="00F4701B" w:rsidP="00F470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F4701B" w:rsidRPr="00CF29F3" w:rsidRDefault="00F4701B" w:rsidP="00F470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F4701B" w:rsidRPr="00CF29F3" w:rsidRDefault="00F4701B" w:rsidP="00F470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AD089E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AD089E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8E" w:rsidRDefault="00F15A8E">
      <w:r>
        <w:separator/>
      </w:r>
    </w:p>
  </w:endnote>
  <w:endnote w:type="continuationSeparator" w:id="0">
    <w:p w:rsidR="00F15A8E" w:rsidRDefault="00F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8E" w:rsidRDefault="00F15A8E">
      <w:r>
        <w:separator/>
      </w:r>
    </w:p>
  </w:footnote>
  <w:footnote w:type="continuationSeparator" w:id="0">
    <w:p w:rsidR="00F15A8E" w:rsidRDefault="00F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4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D47A5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D47A5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13041"/>
    <w:multiLevelType w:val="hybridMultilevel"/>
    <w:tmpl w:val="ED22C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18"/>
  </w:num>
  <w:num w:numId="17">
    <w:abstractNumId w:val="0"/>
  </w:num>
  <w:num w:numId="18">
    <w:abstractNumId w:val="6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26CFA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441B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298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47A5"/>
    <w:rsid w:val="002E1B1E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05FF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0808"/>
    <w:rsid w:val="004A1524"/>
    <w:rsid w:val="004A2B08"/>
    <w:rsid w:val="004A3746"/>
    <w:rsid w:val="004A5674"/>
    <w:rsid w:val="004A747A"/>
    <w:rsid w:val="004B0FB6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0D6E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C16BF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6B6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B321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73AB7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D447D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242E6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46E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125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02773"/>
    <w:rsid w:val="00F1533D"/>
    <w:rsid w:val="00F15A8E"/>
    <w:rsid w:val="00F244F1"/>
    <w:rsid w:val="00F24B46"/>
    <w:rsid w:val="00F27E6F"/>
    <w:rsid w:val="00F30B2E"/>
    <w:rsid w:val="00F31E54"/>
    <w:rsid w:val="00F43A75"/>
    <w:rsid w:val="00F4701B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1AC2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AA07-020C-421F-88FA-F0EBBAF6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10</cp:revision>
  <cp:lastPrinted>2008-11-24T15:14:00Z</cp:lastPrinted>
  <dcterms:created xsi:type="dcterms:W3CDTF">2020-01-22T16:48:00Z</dcterms:created>
  <dcterms:modified xsi:type="dcterms:W3CDTF">2020-04-27T22:35:00Z</dcterms:modified>
</cp:coreProperties>
</file>