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8C53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044E0DD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6EA18899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4176BC97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32DB684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BBF884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DDBA04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7D9F984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BB0148" w:rsidRPr="00504025" w14:paraId="7611A56B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46024766" w14:textId="77777777" w:rsidR="00BB0148" w:rsidRPr="00504025" w:rsidRDefault="00BB0148" w:rsidP="00BB014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CGT0305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079EA98" w14:textId="77777777" w:rsidR="00BB0148" w:rsidRPr="0041438F" w:rsidRDefault="00BB0148" w:rsidP="00BB014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029C18E" w14:textId="77777777" w:rsidR="00BB0148" w:rsidRPr="0041438F" w:rsidRDefault="00BB0148" w:rsidP="00BB014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CF3337D" w14:textId="1E22781A" w:rsidR="00BB0148" w:rsidRPr="0041438F" w:rsidRDefault="00BB0148" w:rsidP="00BB014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90B0027" w14:textId="0F7A4558" w:rsidR="00BB0148" w:rsidRPr="0041438F" w:rsidRDefault="00BB0148" w:rsidP="00BB014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156D4CF7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1E03DE21" w14:textId="1D0E1E40" w:rsidR="00E8012E" w:rsidRPr="00504025" w:rsidRDefault="00E8012E" w:rsidP="0020647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Procesos para la agregación de valor en las cadenas priorizadas en el departamento (Aguacate, Cacao, Mora, Plátano</w:t>
            </w:r>
            <w:r w:rsidR="0025409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, Café</w:t>
            </w:r>
            <w:r w:rsidR="0020647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)</w:t>
            </w:r>
          </w:p>
        </w:tc>
      </w:tr>
      <w:tr w:rsidR="00E8012E" w:rsidRPr="00504025" w14:paraId="17A4EE20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1D2E6351" w14:textId="0A91D409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Resultados transferidos a las asociaciones agroempresariales de las </w:t>
            </w:r>
            <w:r w:rsidR="0025409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cinco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cadenas priorizadas</w:t>
            </w:r>
          </w:p>
        </w:tc>
      </w:tr>
      <w:tr w:rsidR="00E8012E" w:rsidRPr="00504025" w14:paraId="6EDC9F3A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D4FF0F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37421A1B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3399278" w14:textId="77777777" w:rsidR="00E64141" w:rsidRPr="0060025E" w:rsidRDefault="00E8012E" w:rsidP="00E64141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E64141" w:rsidRPr="0060025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Gestionar la generación de conocimiento, la creación artística, los productos de desarrollo tecnológico y los emprendimientos pertinentes con las demandas y necesidades de la sociedad y las fronteras de la ciencia, para lograr que los grupos de investigación obtengan reconocimiento y mejoren su clasificación en la medición realizada por Colciencias, los productos de desarrollo tecnológico sean transferidos a la sociedad y se incrementen las capacidades de emprendimiento de la comunidad universitaria</w:t>
            </w:r>
          </w:p>
          <w:p w14:paraId="52B4BB9E" w14:textId="77777777" w:rsidR="00E64141" w:rsidRDefault="00E64141" w:rsidP="00E64141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14:paraId="20D5704E" w14:textId="7A8E74D0" w:rsidR="00E8012E" w:rsidRDefault="00E64141" w:rsidP="00E6414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0025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Consolidar la oferta de servicios de extensión con impacto a nivel regional, nacional e internacional a través de la promoción de estos servicios que permitan aumentar la comercialización y transferencia de las capacidades institucionales</w:t>
            </w:r>
          </w:p>
        </w:tc>
      </w:tr>
      <w:tr w:rsidR="00E8012E" w:rsidRPr="00504025" w14:paraId="2DBBD1A0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7DF0595E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328B54B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8A16A0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336C6FC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6208B66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03496A9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63E9262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49827B2A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6E77E31C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1965B906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9B5107"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 e Innovación</w:t>
            </w:r>
          </w:p>
        </w:tc>
      </w:tr>
      <w:tr w:rsidR="00E8012E" w:rsidRPr="00504025" w14:paraId="29862E8E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08509167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15E6C302" w14:textId="77777777" w:rsidR="009B5107" w:rsidRPr="00504025" w:rsidRDefault="009B5107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0D3EC1B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Visibilidad nacional e internacional </w:t>
            </w:r>
          </w:p>
          <w:p w14:paraId="6D15B37A" w14:textId="77777777" w:rsidR="009B5107" w:rsidRDefault="009B5107" w:rsidP="009B510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. Inserción de la institución en contextos académicos nacionales e internacionales</w:t>
            </w:r>
          </w:p>
          <w:p w14:paraId="74935032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2787830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6. Investigación y creación artística </w:t>
            </w:r>
          </w:p>
          <w:p w14:paraId="72A7A42C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18. Investigación  </w:t>
            </w:r>
          </w:p>
          <w:p w14:paraId="24522AEA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F452174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7. Pertinencia e Impacto social </w:t>
            </w:r>
          </w:p>
          <w:p w14:paraId="1A21662A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19. Institución y entorno </w:t>
            </w:r>
          </w:p>
          <w:p w14:paraId="0E591906" w14:textId="77777777" w:rsidR="009B5107" w:rsidRPr="00EF6920" w:rsidRDefault="009B5107" w:rsidP="009B510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0B21C4C3" w14:textId="77777777"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321A642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1BB4BC87" w14:textId="77777777"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7FB150B2" w14:textId="77777777" w:rsidR="009B5107" w:rsidRPr="00504025" w:rsidRDefault="009B5107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EF57C5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071ABB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3D52016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123CC3F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40367149" w14:textId="77777777" w:rsidR="00E8012E" w:rsidRPr="00504025" w:rsidRDefault="009B5107" w:rsidP="009B510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03A4CAD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6406ABB0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AB0FE89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C6FE05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CF41FAC" w14:textId="77777777" w:rsidR="00E8012E" w:rsidRPr="00504025" w:rsidRDefault="00E8012E" w:rsidP="009759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759F1" w:rsidRPr="009135CB">
              <w:rPr>
                <w:rFonts w:asciiTheme="minorHAnsi" w:hAnsiTheme="minorHAnsi" w:cs="Arial"/>
                <w:sz w:val="20"/>
                <w:szCs w:val="20"/>
                <w:lang w:val="es-CO"/>
              </w:rPr>
              <w:t>Centro de Desarrollo Tecnológico Agroindustrial (CDTA), GESPROY.</w:t>
            </w:r>
          </w:p>
        </w:tc>
      </w:tr>
      <w:tr w:rsidR="00E8012E" w:rsidRPr="00504025" w14:paraId="736EC46A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AFDBDFE" w14:textId="77777777" w:rsidR="00E8012E" w:rsidRPr="00504025" w:rsidRDefault="00E8012E" w:rsidP="009B510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Centro de Desarrollo Tecnológico con enfoque en agroindustria</w:t>
            </w:r>
            <w:r w:rsidR="009B510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- </w:t>
            </w:r>
            <w:r w:rsidR="009B5107" w:rsidRPr="009D6619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504025" w14:paraId="5EE483A5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B71FC2F" w14:textId="77777777" w:rsidR="00E8012E" w:rsidRPr="00504025" w:rsidRDefault="00E8012E" w:rsidP="009B510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9B5107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="009B510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- 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Centro de Desarrollo Tecnológico con enfoque en agroindustria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B510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- </w:t>
            </w:r>
            <w:r w:rsidR="009B510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Proceso de Administración Institucional de la Gestión Tecnológica, Innovación y Emprendimiento </w:t>
            </w:r>
          </w:p>
        </w:tc>
      </w:tr>
    </w:tbl>
    <w:p w14:paraId="5884FCC0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00E1464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5D51637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702A5130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6628283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5C35A132" w14:textId="0582F562" w:rsidR="00285B0D" w:rsidRDefault="00285B0D" w:rsidP="00DC1DD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CDTA: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Centro de Desarrollo Tecnológico Agroindustrial</w:t>
            </w:r>
          </w:p>
          <w:p w14:paraId="498A7756" w14:textId="77777777" w:rsidR="001B41EF" w:rsidRDefault="001B41EF" w:rsidP="00DC1DD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</w:p>
          <w:p w14:paraId="1075F18E" w14:textId="6010F48F" w:rsidR="00285B0D" w:rsidRDefault="00285B0D" w:rsidP="00DC1DD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285B0D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SGR:</w:t>
            </w: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Sistema General de Regalías</w:t>
            </w:r>
          </w:p>
          <w:p w14:paraId="391C47A8" w14:textId="77777777" w:rsidR="001B41EF" w:rsidRDefault="001B41EF" w:rsidP="001B41EF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185F21EC" w14:textId="5A48E23E" w:rsidR="001B41EF" w:rsidRDefault="001B41EF" w:rsidP="001B41EF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 w:rsidRPr="00DB586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Nivel de madurez tecnológica 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– TRL</w:t>
            </w:r>
            <w:r>
              <w:rPr>
                <w:rStyle w:val="Refdenotaalpie"/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footnoteReference w:id="1"/>
            </w:r>
          </w:p>
          <w:p w14:paraId="14A52A89" w14:textId="77777777" w:rsidR="001B41EF" w:rsidRDefault="001B41EF" w:rsidP="001B41EF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E2185C">
              <w:rPr>
                <w:rFonts w:asciiTheme="minorHAnsi" w:hAnsiTheme="minorHAnsi" w:cs="Arial"/>
                <w:noProof/>
                <w:sz w:val="20"/>
                <w:szCs w:val="20"/>
              </w:rPr>
              <w:t>Es una escala de clasificación que mide el grado de madurez de una tecnología, con el fin de identificar la correspondencia de las actividades de investigación, desarrollo tecnológico e innovación (I+D+i) con las diferentes etapas del desarrollo tecnológico.</w:t>
            </w:r>
          </w:p>
          <w:p w14:paraId="1F5D8E68" w14:textId="77777777" w:rsidR="001B41EF" w:rsidRDefault="001B41EF" w:rsidP="001B41EF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632CEDF1" w14:textId="77777777" w:rsidR="001B41EF" w:rsidRDefault="001B41EF" w:rsidP="001B41EF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Es una herramienta que considera nueve (9) niveles para medir la madurez de la tecnología, esta herramienta creada por la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NASA, es más conocida por sus siglas en Inglés “Technology Readiness Level” –TRL y es aceptada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internacionalmente para delimitar y medir el grado de avance de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procesos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desarrollo tecnológico e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innovación. Esta herramienta permite a las entidades entender su madurez tecnológica y su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potencial innovador caracterizando en c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ada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nivel o etapa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el progreso en el desarrollo, desde la idea misma hasta su despliegue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o introducción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en el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m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ercado.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Así mismo, permite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identificar el nivel de desarrollo de las diferentes actividades de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Investigación, Desarrollo tecnológico e Innovación (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I+D+i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)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y productos que de estas resultan, para ser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D67702">
              <w:rPr>
                <w:rFonts w:asciiTheme="minorHAnsi" w:hAnsiTheme="minorHAnsi" w:cs="Arial"/>
                <w:noProof/>
                <w:sz w:val="20"/>
                <w:szCs w:val="20"/>
              </w:rPr>
              <w:t>lanzados al mercad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o y ofrecer un valor agregado. </w:t>
            </w:r>
          </w:p>
          <w:p w14:paraId="50252000" w14:textId="13569FD4" w:rsidR="00B429D2" w:rsidRPr="00DC2D55" w:rsidRDefault="00B429D2" w:rsidP="00DC1DD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5CE2A984" w14:textId="77777777" w:rsidR="001B41EF" w:rsidRDefault="00DC1DD3" w:rsidP="00DC1DD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2C42AA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Población beneficiada</w:t>
            </w:r>
          </w:p>
          <w:p w14:paraId="3B4989E0" w14:textId="5D25FFED" w:rsidR="00E8012E" w:rsidRDefault="00984CEC" w:rsidP="00DC1DD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A</w:t>
            </w:r>
            <w:r w:rsidR="00DC1DD3" w:rsidRPr="00DC1DD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sociaciones y/o asociaciones </w:t>
            </w:r>
            <w:proofErr w:type="gramStart"/>
            <w:r w:rsidR="00DC1DD3" w:rsidRPr="00DC1DD3">
              <w:rPr>
                <w:rFonts w:asciiTheme="minorHAnsi" w:hAnsiTheme="minorHAnsi"/>
                <w:sz w:val="20"/>
                <w:szCs w:val="20"/>
                <w:lang w:val="es-CO"/>
              </w:rPr>
              <w:t>agro empresariales</w:t>
            </w:r>
            <w:proofErr w:type="gramEnd"/>
            <w:r w:rsidR="00DC1DD3" w:rsidRPr="00DC1DD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de producción prim</w:t>
            </w:r>
            <w:r w:rsidR="005A35F7">
              <w:rPr>
                <w:rFonts w:asciiTheme="minorHAnsi" w:hAnsiTheme="minorHAnsi"/>
                <w:sz w:val="20"/>
                <w:szCs w:val="20"/>
                <w:lang w:val="es-CO"/>
              </w:rPr>
              <w:t>aria de las cadenas productivas,</w:t>
            </w:r>
            <w:r w:rsidR="00DC1DD3" w:rsidRPr="00DC1DD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comercializadores y transformadores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de productos agroindustriales.</w:t>
            </w:r>
          </w:p>
          <w:p w14:paraId="15D80BA8" w14:textId="77777777" w:rsidR="00C33091" w:rsidRPr="00DC1DD3" w:rsidRDefault="00C33091" w:rsidP="00DC1DD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449C899F" w14:textId="77777777" w:rsidR="001B41EF" w:rsidRDefault="005B6241" w:rsidP="00CC41AA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 w:rsidRPr="002C42AA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Servicios de apoyo para el entretamiento especializado</w:t>
            </w:r>
          </w:p>
          <w:p w14:paraId="0F3B231B" w14:textId="1C43D65E" w:rsidR="00E8012E" w:rsidRDefault="008968E7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Cursos de extensi</w:t>
            </w:r>
            <w:r w:rsidR="002C42A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ón definidos para el entrenamiento especializado </w:t>
            </w:r>
            <w:r w:rsidR="00A0025F">
              <w:rPr>
                <w:rFonts w:asciiTheme="minorHAnsi" w:hAnsiTheme="minorHAnsi"/>
                <w:sz w:val="20"/>
                <w:szCs w:val="20"/>
                <w:lang w:val="es-CO"/>
              </w:rPr>
              <w:t>a la</w:t>
            </w:r>
            <w:r w:rsidR="002C42A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población beneficiada.</w:t>
            </w:r>
          </w:p>
          <w:p w14:paraId="71839FAC" w14:textId="77777777" w:rsidR="00C33091" w:rsidRDefault="00C33091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31A7F45F" w14:textId="77777777" w:rsidR="001B41EF" w:rsidRDefault="0090403D" w:rsidP="00CC41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Diplomado</w:t>
            </w:r>
          </w:p>
          <w:p w14:paraId="6ABE7648" w14:textId="4ABC3772" w:rsidR="0090403D" w:rsidRPr="0090403D" w:rsidRDefault="0090403D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C</w:t>
            </w:r>
            <w:r w:rsidRPr="0090403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ursos de extensión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(educación continua) que </w:t>
            </w:r>
            <w:r w:rsidRPr="0090403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son desarrollados para ampliar y profundizar conocimientos en temas específicos, en este caso en el conocimiento de las temáticas que apoyan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el</w:t>
            </w:r>
            <w:r w:rsidRPr="0090403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Desarrollo Tecnológico en el sector agroindustrial para el mejoramiento de sus procesos, productos con sentido (mercado).</w:t>
            </w:r>
          </w:p>
          <w:p w14:paraId="27CCA031" w14:textId="77777777"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799307" w14:textId="0C0C6581" w:rsidR="00E8012E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29EC27B" w14:textId="2F97C080" w:rsidR="001B41EF" w:rsidRDefault="001B41EF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BC0C3D7" w14:textId="5D260B09" w:rsidR="001B41EF" w:rsidRDefault="001B41EF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78242E5" w14:textId="7B4D10DF" w:rsidR="001B41EF" w:rsidRDefault="001B41EF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68D385E" w14:textId="77777777" w:rsidR="001B41EF" w:rsidRPr="00504025" w:rsidRDefault="001B41EF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D0A3F4C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D2B1295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2BBA039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874E55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66DF2736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790687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3A04A04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5E85B81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AF3D3DF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0713EE7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22B0775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9F01DF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6A0F737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A288B8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207E75F1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E7F7099" w14:textId="47FDDC04" w:rsidR="00E8012E" w:rsidRPr="00CF29F3" w:rsidRDefault="00E8012E" w:rsidP="00BE572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Procesos para la agregación de valor en las cadenas priorizadas en el departamento (Aguacate, Cacao, Mora, Plátano)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Sumatoria de resultados transferidos a las asociaciones agroempresariales de </w:t>
            </w:r>
            <w:r w:rsidR="00371D2F">
              <w:rPr>
                <w:rFonts w:asciiTheme="minorHAnsi" w:hAnsiTheme="minorHAnsi" w:cs="Arial"/>
                <w:noProof/>
                <w:sz w:val="20"/>
                <w:szCs w:val="20"/>
              </w:rPr>
              <w:t>los cinco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cadenas priorizadas</w:t>
            </w:r>
          </w:p>
        </w:tc>
      </w:tr>
      <w:tr w:rsidR="00E8012E" w:rsidRPr="00504025" w14:paraId="4CFE55F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DCCE2C2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68242077" w14:textId="77777777" w:rsidR="00E8012E" w:rsidRPr="00D47949" w:rsidRDefault="00A4341B" w:rsidP="00097F7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8408D">
              <w:rPr>
                <w:rFonts w:asciiTheme="minorHAnsi" w:hAnsiTheme="minorHAnsi" w:cs="Arial"/>
                <w:sz w:val="20"/>
                <w:szCs w:val="20"/>
                <w:lang w:val="es-CO"/>
              </w:rPr>
              <w:t>Número de personas impactadas</w:t>
            </w:r>
            <w:r w:rsidR="00097F7D" w:rsidRPr="00B8408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(población objetivo) con</w:t>
            </w:r>
            <w:r w:rsidRPr="00B8408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los cursos de extensión</w:t>
            </w:r>
            <w:r w:rsidR="00097F7D" w:rsidRPr="00B8408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(servicios de apoyo para el entrenamiento especializado)</w:t>
            </w:r>
            <w:r w:rsidRPr="00B8408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ofrecidos por el CDTA durante la ejecución del proyecto</w:t>
            </w:r>
          </w:p>
        </w:tc>
      </w:tr>
      <w:tr w:rsidR="00E8012E" w:rsidRPr="00504025" w14:paraId="0CE492B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434AB50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39CF9F4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09D55CD0" w14:textId="77777777" w:rsidR="00683496" w:rsidRDefault="00683496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59564425" w14:textId="77777777" w:rsidR="00683496" w:rsidRPr="00504025" w:rsidRDefault="00683496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52"/>
              <w:gridCol w:w="1990"/>
              <w:gridCol w:w="1772"/>
              <w:gridCol w:w="1897"/>
              <w:gridCol w:w="1451"/>
            </w:tblGrid>
            <w:tr w:rsidR="00254091" w14:paraId="3AF56E03" w14:textId="77777777" w:rsidTr="00254091">
              <w:trPr>
                <w:trHeight w:val="438"/>
                <w:jc w:val="center"/>
              </w:trPr>
              <w:tc>
                <w:tcPr>
                  <w:tcW w:w="1652" w:type="dxa"/>
                  <w:shd w:val="clear" w:color="auto" w:fill="95B3D7" w:themeFill="accent1" w:themeFillTint="99"/>
                  <w:vAlign w:val="center"/>
                </w:tcPr>
                <w:p w14:paraId="5D811C33" w14:textId="1B9BF134" w:rsidR="00254091" w:rsidRDefault="00254091" w:rsidP="002540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Tipo de resultado</w:t>
                  </w:r>
                </w:p>
              </w:tc>
              <w:tc>
                <w:tcPr>
                  <w:tcW w:w="1990" w:type="dxa"/>
                  <w:shd w:val="clear" w:color="auto" w:fill="95B3D7" w:themeFill="accent1" w:themeFillTint="99"/>
                  <w:vAlign w:val="center"/>
                </w:tcPr>
                <w:p w14:paraId="214DB025" w14:textId="77777777" w:rsidR="00254091" w:rsidRDefault="00254091" w:rsidP="002540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Responsables</w:t>
                  </w:r>
                </w:p>
              </w:tc>
              <w:tc>
                <w:tcPr>
                  <w:tcW w:w="1772" w:type="dxa"/>
                  <w:shd w:val="clear" w:color="auto" w:fill="95B3D7" w:themeFill="accent1" w:themeFillTint="99"/>
                </w:tcPr>
                <w:p w14:paraId="0B5B425F" w14:textId="77777777" w:rsidR="00254091" w:rsidRDefault="00254091" w:rsidP="002540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  <w:p w14:paraId="7D99AC46" w14:textId="77777777" w:rsidR="00254091" w:rsidRDefault="00254091" w:rsidP="002540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  <w:p w14:paraId="76265D37" w14:textId="12C18654" w:rsidR="00254091" w:rsidRDefault="00254091" w:rsidP="002540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897" w:type="dxa"/>
                  <w:shd w:val="clear" w:color="auto" w:fill="95B3D7" w:themeFill="accent1" w:themeFillTint="99"/>
                  <w:vAlign w:val="center"/>
                </w:tcPr>
                <w:p w14:paraId="3C6B31EA" w14:textId="254AF49F" w:rsidR="00254091" w:rsidRDefault="00254091" w:rsidP="002540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Tipo de asociación</w:t>
                  </w:r>
                </w:p>
              </w:tc>
              <w:tc>
                <w:tcPr>
                  <w:tcW w:w="1451" w:type="dxa"/>
                  <w:shd w:val="clear" w:color="auto" w:fill="95B3D7" w:themeFill="accent1" w:themeFillTint="99"/>
                  <w:vAlign w:val="center"/>
                </w:tcPr>
                <w:p w14:paraId="7766B9DE" w14:textId="1999D633" w:rsidR="00254091" w:rsidRDefault="00254091" w:rsidP="002540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Informe de transerencia de resultados </w:t>
                  </w:r>
                  <w:r>
                    <w:rPr>
                      <w:rStyle w:val="Refdenotaalpie"/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254091" w14:paraId="26ED22EE" w14:textId="77777777" w:rsidTr="00254091">
              <w:trPr>
                <w:trHeight w:val="219"/>
                <w:jc w:val="center"/>
              </w:trPr>
              <w:tc>
                <w:tcPr>
                  <w:tcW w:w="1652" w:type="dxa"/>
                </w:tcPr>
                <w:p w14:paraId="748A465F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5005D6B6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</w:tcPr>
                <w:p w14:paraId="12CA479F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0B0AE3A8" w14:textId="38D30742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</w:tcPr>
                <w:p w14:paraId="3BCC47D9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54091" w14:paraId="1F349C59" w14:textId="77777777" w:rsidTr="00254091">
              <w:trPr>
                <w:trHeight w:val="219"/>
                <w:jc w:val="center"/>
              </w:trPr>
              <w:tc>
                <w:tcPr>
                  <w:tcW w:w="1652" w:type="dxa"/>
                </w:tcPr>
                <w:p w14:paraId="7261C8CB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</w:tcPr>
                <w:p w14:paraId="214D39CA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</w:tcPr>
                <w:p w14:paraId="72F267B8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2AAEB0C8" w14:textId="752A4DAA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</w:tcPr>
                <w:p w14:paraId="0AC0BD8E" w14:textId="77777777" w:rsidR="00254091" w:rsidRDefault="00254091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05EB8CE" w14:textId="77777777" w:rsidR="00E8012E" w:rsidRPr="00504025" w:rsidRDefault="00A4341B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E8012E" w:rsidRPr="00504025" w14:paraId="677F8B6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7DCAB07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279A08C1" w14:textId="77777777" w:rsidR="004939E2" w:rsidRPr="00504025" w:rsidRDefault="004939E2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83"/>
              <w:gridCol w:w="2031"/>
            </w:tblGrid>
            <w:tr w:rsidR="00781B87" w14:paraId="0A2D2D53" w14:textId="77777777" w:rsidTr="00781B87">
              <w:trPr>
                <w:trHeight w:val="459"/>
                <w:jc w:val="center"/>
              </w:trPr>
              <w:tc>
                <w:tcPr>
                  <w:tcW w:w="3683" w:type="dxa"/>
                  <w:shd w:val="clear" w:color="auto" w:fill="95B3D7" w:themeFill="accent1" w:themeFillTint="99"/>
                </w:tcPr>
                <w:p w14:paraId="3351BAD6" w14:textId="63F2958E" w:rsidR="00781B87" w:rsidRDefault="00781B87" w:rsidP="00781B8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42AA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lastRenderedPageBreak/>
                    <w:t>Servicios de apoyo para el entretamiento especializado</w:t>
                  </w:r>
                </w:p>
              </w:tc>
              <w:tc>
                <w:tcPr>
                  <w:tcW w:w="2031" w:type="dxa"/>
                </w:tcPr>
                <w:p w14:paraId="61796BE5" w14:textId="77777777" w:rsidR="00781B87" w:rsidRDefault="00781B87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0C93FFA4" w14:textId="77777777" w:rsidTr="00781B87">
              <w:trPr>
                <w:trHeight w:val="189"/>
                <w:jc w:val="center"/>
              </w:trPr>
              <w:tc>
                <w:tcPr>
                  <w:tcW w:w="3683" w:type="dxa"/>
                  <w:shd w:val="clear" w:color="auto" w:fill="95B3D7" w:themeFill="accent1" w:themeFillTint="99"/>
                </w:tcPr>
                <w:p w14:paraId="5B4EAC74" w14:textId="6C6056BA" w:rsidR="00645BC2" w:rsidRPr="002C5276" w:rsidRDefault="00645BC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Diplomado </w:t>
                  </w:r>
                </w:p>
              </w:tc>
              <w:tc>
                <w:tcPr>
                  <w:tcW w:w="2031" w:type="dxa"/>
                </w:tcPr>
                <w:p w14:paraId="743ABDE5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81B87" w14:paraId="5DE4A3C3" w14:textId="77777777" w:rsidTr="00781B87">
              <w:trPr>
                <w:trHeight w:val="189"/>
                <w:jc w:val="center"/>
              </w:trPr>
              <w:tc>
                <w:tcPr>
                  <w:tcW w:w="3683" w:type="dxa"/>
                  <w:shd w:val="clear" w:color="auto" w:fill="95B3D7" w:themeFill="accent1" w:themeFillTint="99"/>
                </w:tcPr>
                <w:p w14:paraId="0196768E" w14:textId="5D8CA298" w:rsidR="00781B87" w:rsidRDefault="00781B87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2031" w:type="dxa"/>
                </w:tcPr>
                <w:p w14:paraId="044ECB94" w14:textId="77777777" w:rsidR="00781B87" w:rsidRDefault="00781B87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4C2FD63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23135FA9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9499230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67A1354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44459D4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6D36EB76" w14:textId="02B843A5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Marta Leonor Marulanda Ángel</w:t>
      </w:r>
    </w:p>
    <w:p w14:paraId="6EF3F8B6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20995F39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36E6BFFC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4D5FFBD1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764C4F8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893B64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6906C917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05C4792B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5D69230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2571135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7E00B87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7CB28E3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6B4032" w:rsidRPr="00CF29F3" w14:paraId="4AB61CE2" w14:textId="77777777" w:rsidTr="00CF29F3">
        <w:trPr>
          <w:jc w:val="center"/>
        </w:trPr>
        <w:tc>
          <w:tcPr>
            <w:tcW w:w="1129" w:type="dxa"/>
            <w:vAlign w:val="center"/>
          </w:tcPr>
          <w:p w14:paraId="445D73F6" w14:textId="73B002A1" w:rsidR="006B4032" w:rsidRPr="00CF29F3" w:rsidRDefault="006B4032" w:rsidP="006B403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03680D4" w14:textId="3D21204B" w:rsidR="006B4032" w:rsidRPr="00CF29F3" w:rsidRDefault="006B4032" w:rsidP="006B403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Acuerdo 37 del 6 de </w:t>
            </w:r>
            <w:proofErr w:type="gramStart"/>
            <w:r w:rsidRPr="00FB1337">
              <w:rPr>
                <w:rFonts w:asciiTheme="minorHAnsi" w:hAnsiTheme="minorHAnsi" w:cs="Arial"/>
                <w:sz w:val="20"/>
                <w:szCs w:val="20"/>
              </w:rPr>
              <w:t>Noviembre</w:t>
            </w:r>
            <w:proofErr w:type="gramEnd"/>
            <w:r w:rsidRPr="00FB1337">
              <w:rPr>
                <w:rFonts w:asciiTheme="minorHAnsi" w:hAnsiTheme="minorHAnsi" w:cs="Arial"/>
                <w:sz w:val="20"/>
                <w:szCs w:val="20"/>
              </w:rPr>
              <w:t xml:space="preserve"> de 2019</w:t>
            </w:r>
          </w:p>
        </w:tc>
        <w:tc>
          <w:tcPr>
            <w:tcW w:w="1418" w:type="dxa"/>
            <w:vAlign w:val="center"/>
          </w:tcPr>
          <w:p w14:paraId="55F92466" w14:textId="57D45012" w:rsidR="006B4032" w:rsidRPr="00CF29F3" w:rsidRDefault="006B4032" w:rsidP="006B403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51F63FA9" w14:textId="25C74A55" w:rsidR="006B4032" w:rsidRPr="00CF29F3" w:rsidRDefault="006B4032" w:rsidP="006B403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EF511BB" w14:textId="3C804E4E" w:rsidR="006B4032" w:rsidRPr="00CF29F3" w:rsidRDefault="006B4032" w:rsidP="006B403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477EDDF2" w14:textId="77777777" w:rsidR="00E8012E" w:rsidRPr="00C363D4" w:rsidRDefault="00E8012E" w:rsidP="00BF3E0F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BF3E0F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5CBA" w14:textId="77777777" w:rsidR="00384009" w:rsidRDefault="00384009">
      <w:r>
        <w:separator/>
      </w:r>
    </w:p>
  </w:endnote>
  <w:endnote w:type="continuationSeparator" w:id="0">
    <w:p w14:paraId="7C2C71E1" w14:textId="77777777" w:rsidR="00384009" w:rsidRDefault="0038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69BB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3F08" w14:textId="77777777" w:rsidR="00384009" w:rsidRDefault="00384009">
      <w:r>
        <w:separator/>
      </w:r>
    </w:p>
  </w:footnote>
  <w:footnote w:type="continuationSeparator" w:id="0">
    <w:p w14:paraId="602B1ED0" w14:textId="77777777" w:rsidR="00384009" w:rsidRDefault="00384009">
      <w:r>
        <w:continuationSeparator/>
      </w:r>
    </w:p>
  </w:footnote>
  <w:footnote w:id="1">
    <w:p w14:paraId="1F0AA444" w14:textId="77777777" w:rsidR="001B41EF" w:rsidRPr="00503663" w:rsidRDefault="001B41EF" w:rsidP="001B41EF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B72F1B">
        <w:rPr>
          <w:sz w:val="18"/>
        </w:rPr>
        <w:t>Tomado de DEPARTAMENTO ADMINISTRATIVO DE CIENCIA TECNOLOGIA E INNOVACIÓN – COLCIENCIAS Documento de política Nacional de Ciencia, Tecnología e Innovación No. 1602 aprobada mediante Resolución No. 1473 de 2016 y publicado en: http://www.colciencias.gov.co/sites/default/files/ckeditor_files/politiciadeactores-snctei.pdf</w:t>
      </w:r>
    </w:p>
  </w:footnote>
  <w:footnote w:id="2">
    <w:p w14:paraId="6026E6CA" w14:textId="2DCE4DA3" w:rsidR="00254091" w:rsidRDefault="00254091" w:rsidP="00C33091">
      <w:pPr>
        <w:spacing w:line="0" w:lineRule="atLeast"/>
        <w:rPr>
          <w:rFonts w:asciiTheme="minorHAnsi" w:hAnsiTheme="minorHAnsi" w:cs="Arial"/>
          <w:b/>
          <w:noProof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="Arial"/>
          <w:noProof/>
          <w:sz w:val="20"/>
          <w:szCs w:val="20"/>
        </w:rPr>
        <w:t>D</w:t>
      </w:r>
      <w:r w:rsidRPr="004939E2">
        <w:rPr>
          <w:rFonts w:asciiTheme="minorHAnsi" w:hAnsiTheme="minorHAnsi" w:cs="Arial"/>
          <w:noProof/>
          <w:sz w:val="20"/>
          <w:szCs w:val="20"/>
        </w:rPr>
        <w:t xml:space="preserve">ocumento de evaluación del proceso de apropiación </w:t>
      </w:r>
      <w:r>
        <w:rPr>
          <w:rFonts w:asciiTheme="minorHAnsi" w:hAnsiTheme="minorHAnsi" w:cs="Arial"/>
          <w:noProof/>
          <w:sz w:val="20"/>
          <w:szCs w:val="20"/>
        </w:rPr>
        <w:t>acompañado de listados de asistencia y registros fotográficos</w:t>
      </w:r>
    </w:p>
    <w:p w14:paraId="3DBB1E05" w14:textId="4F70B8C3" w:rsidR="00254091" w:rsidRPr="00C33091" w:rsidRDefault="0025409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22FBDA8C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143B1F77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A1BBDEB" wp14:editId="35519A24">
                <wp:extent cx="1171185" cy="854648"/>
                <wp:effectExtent l="0" t="0" r="0" b="3175"/>
                <wp:docPr id="107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B32E64E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2ABA2284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1CAF62C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48D03F5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52D61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ED187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0A9D439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1B73C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3489F4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329C375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35B0B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C87E24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7460C4A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04060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6748CD" w14:textId="661868D0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BB0148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BB0148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F650EF6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32FBE4E8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6891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97F7D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4B4A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B41EF"/>
    <w:rsid w:val="001C01F5"/>
    <w:rsid w:val="001C0C19"/>
    <w:rsid w:val="001C1AF5"/>
    <w:rsid w:val="001C296C"/>
    <w:rsid w:val="001C3EC1"/>
    <w:rsid w:val="001D17FE"/>
    <w:rsid w:val="001D7171"/>
    <w:rsid w:val="001E485A"/>
    <w:rsid w:val="001E4A2A"/>
    <w:rsid w:val="001F5100"/>
    <w:rsid w:val="001F5702"/>
    <w:rsid w:val="002006FB"/>
    <w:rsid w:val="00205372"/>
    <w:rsid w:val="002056C2"/>
    <w:rsid w:val="00206473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421"/>
    <w:rsid w:val="002525AD"/>
    <w:rsid w:val="00254091"/>
    <w:rsid w:val="00255EEC"/>
    <w:rsid w:val="00256B7C"/>
    <w:rsid w:val="002611D9"/>
    <w:rsid w:val="00263F64"/>
    <w:rsid w:val="0026498D"/>
    <w:rsid w:val="002661CC"/>
    <w:rsid w:val="00272854"/>
    <w:rsid w:val="00274E21"/>
    <w:rsid w:val="002831C2"/>
    <w:rsid w:val="00285B0D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42AA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E7535"/>
    <w:rsid w:val="002F0C71"/>
    <w:rsid w:val="002F0F56"/>
    <w:rsid w:val="002F35F9"/>
    <w:rsid w:val="002F585A"/>
    <w:rsid w:val="002F6878"/>
    <w:rsid w:val="002F798C"/>
    <w:rsid w:val="003008BA"/>
    <w:rsid w:val="003008C2"/>
    <w:rsid w:val="00307CD2"/>
    <w:rsid w:val="0031307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1D2F"/>
    <w:rsid w:val="0037401F"/>
    <w:rsid w:val="003741BC"/>
    <w:rsid w:val="00380B52"/>
    <w:rsid w:val="00382346"/>
    <w:rsid w:val="00384009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17D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0478"/>
    <w:rsid w:val="004939E2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0F18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4306"/>
    <w:rsid w:val="00591FC4"/>
    <w:rsid w:val="005923C8"/>
    <w:rsid w:val="00592E48"/>
    <w:rsid w:val="005A2D0F"/>
    <w:rsid w:val="005A33ED"/>
    <w:rsid w:val="005A35F7"/>
    <w:rsid w:val="005A561E"/>
    <w:rsid w:val="005A6B09"/>
    <w:rsid w:val="005B6241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4B8"/>
    <w:rsid w:val="00632F86"/>
    <w:rsid w:val="00640501"/>
    <w:rsid w:val="00645AD7"/>
    <w:rsid w:val="00645BC2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83496"/>
    <w:rsid w:val="006879D4"/>
    <w:rsid w:val="00696A91"/>
    <w:rsid w:val="006A1D7D"/>
    <w:rsid w:val="006B4032"/>
    <w:rsid w:val="006B4934"/>
    <w:rsid w:val="006B73B8"/>
    <w:rsid w:val="006C00D5"/>
    <w:rsid w:val="006C3E3E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16D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1B87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60D2"/>
    <w:rsid w:val="0089045D"/>
    <w:rsid w:val="00894DEC"/>
    <w:rsid w:val="0089608A"/>
    <w:rsid w:val="008968E7"/>
    <w:rsid w:val="008A58C6"/>
    <w:rsid w:val="008A663B"/>
    <w:rsid w:val="008B0C4B"/>
    <w:rsid w:val="008B1106"/>
    <w:rsid w:val="008B1AA1"/>
    <w:rsid w:val="008B55F3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03D"/>
    <w:rsid w:val="00904AC3"/>
    <w:rsid w:val="00912D92"/>
    <w:rsid w:val="009135CB"/>
    <w:rsid w:val="0091462A"/>
    <w:rsid w:val="00935D2F"/>
    <w:rsid w:val="00942926"/>
    <w:rsid w:val="00946B10"/>
    <w:rsid w:val="00946C81"/>
    <w:rsid w:val="00947BE5"/>
    <w:rsid w:val="00953228"/>
    <w:rsid w:val="0097292D"/>
    <w:rsid w:val="009759F1"/>
    <w:rsid w:val="009801D8"/>
    <w:rsid w:val="00980D1E"/>
    <w:rsid w:val="00980E9D"/>
    <w:rsid w:val="00984162"/>
    <w:rsid w:val="00984CEC"/>
    <w:rsid w:val="009924B1"/>
    <w:rsid w:val="009A089F"/>
    <w:rsid w:val="009A1AA5"/>
    <w:rsid w:val="009A34AB"/>
    <w:rsid w:val="009A35D0"/>
    <w:rsid w:val="009A4949"/>
    <w:rsid w:val="009A64FD"/>
    <w:rsid w:val="009A7BCE"/>
    <w:rsid w:val="009B5107"/>
    <w:rsid w:val="009B62EB"/>
    <w:rsid w:val="009B7E18"/>
    <w:rsid w:val="009C17EA"/>
    <w:rsid w:val="009D28C7"/>
    <w:rsid w:val="009D3DE4"/>
    <w:rsid w:val="009F3783"/>
    <w:rsid w:val="009F46B9"/>
    <w:rsid w:val="009F5809"/>
    <w:rsid w:val="00A0025F"/>
    <w:rsid w:val="00A00D6F"/>
    <w:rsid w:val="00A019FD"/>
    <w:rsid w:val="00A0210B"/>
    <w:rsid w:val="00A111A1"/>
    <w:rsid w:val="00A12134"/>
    <w:rsid w:val="00A1222F"/>
    <w:rsid w:val="00A2190E"/>
    <w:rsid w:val="00A2260E"/>
    <w:rsid w:val="00A22D77"/>
    <w:rsid w:val="00A2367C"/>
    <w:rsid w:val="00A23947"/>
    <w:rsid w:val="00A260A7"/>
    <w:rsid w:val="00A31EB0"/>
    <w:rsid w:val="00A32ABB"/>
    <w:rsid w:val="00A35B14"/>
    <w:rsid w:val="00A433EE"/>
    <w:rsid w:val="00A4341B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6E61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29D2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8408D"/>
    <w:rsid w:val="00B90D01"/>
    <w:rsid w:val="00B941C8"/>
    <w:rsid w:val="00B948F0"/>
    <w:rsid w:val="00B951B3"/>
    <w:rsid w:val="00BA1C71"/>
    <w:rsid w:val="00BA1D56"/>
    <w:rsid w:val="00BA4B52"/>
    <w:rsid w:val="00BA762F"/>
    <w:rsid w:val="00BB0148"/>
    <w:rsid w:val="00BB2C7F"/>
    <w:rsid w:val="00BB4682"/>
    <w:rsid w:val="00BC058B"/>
    <w:rsid w:val="00BC56E3"/>
    <w:rsid w:val="00BC64B1"/>
    <w:rsid w:val="00BD633A"/>
    <w:rsid w:val="00BE2A3C"/>
    <w:rsid w:val="00BE43E7"/>
    <w:rsid w:val="00BE503F"/>
    <w:rsid w:val="00BE5487"/>
    <w:rsid w:val="00BE5721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091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2907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29B8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1DD3"/>
    <w:rsid w:val="00DC2D55"/>
    <w:rsid w:val="00DC6280"/>
    <w:rsid w:val="00DC7631"/>
    <w:rsid w:val="00DE6485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266E5"/>
    <w:rsid w:val="00E30539"/>
    <w:rsid w:val="00E3341B"/>
    <w:rsid w:val="00E357E3"/>
    <w:rsid w:val="00E35CDE"/>
    <w:rsid w:val="00E36606"/>
    <w:rsid w:val="00E37C2B"/>
    <w:rsid w:val="00E53A15"/>
    <w:rsid w:val="00E53D08"/>
    <w:rsid w:val="00E64141"/>
    <w:rsid w:val="00E664B2"/>
    <w:rsid w:val="00E736AE"/>
    <w:rsid w:val="00E73996"/>
    <w:rsid w:val="00E80079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0429F"/>
    <w:rsid w:val="00F1533D"/>
    <w:rsid w:val="00F244F1"/>
    <w:rsid w:val="00F24B46"/>
    <w:rsid w:val="00F27E6F"/>
    <w:rsid w:val="00F30B2E"/>
    <w:rsid w:val="00F31E54"/>
    <w:rsid w:val="00F37063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5AAA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0A9612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6CEF-26D6-4B62-ABB5-912552D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viviana marcela carmona arias</cp:lastModifiedBy>
  <cp:revision>60</cp:revision>
  <cp:lastPrinted>2008-11-24T15:14:00Z</cp:lastPrinted>
  <dcterms:created xsi:type="dcterms:W3CDTF">2020-01-22T17:14:00Z</dcterms:created>
  <dcterms:modified xsi:type="dcterms:W3CDTF">2020-06-08T23:58:00Z</dcterms:modified>
</cp:coreProperties>
</file>