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rsidTr="000473A1">
        <w:trPr>
          <w:trHeight w:val="388"/>
          <w:jc w:val="center"/>
        </w:trPr>
        <w:tc>
          <w:tcPr>
            <w:tcW w:w="2207" w:type="dxa"/>
            <w:shd w:val="clear" w:color="auto" w:fill="17365D" w:themeFill="text2" w:themeFillShade="BF"/>
            <w:vAlign w:val="center"/>
          </w:tcPr>
          <w:p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7A348D" w:rsidRPr="00504025" w:rsidTr="000473A1">
        <w:trPr>
          <w:trHeight w:val="329"/>
          <w:jc w:val="center"/>
        </w:trPr>
        <w:tc>
          <w:tcPr>
            <w:tcW w:w="2207" w:type="dxa"/>
            <w:shd w:val="clear" w:color="auto" w:fill="FFFFFF" w:themeFill="background1"/>
            <w:vAlign w:val="center"/>
          </w:tcPr>
          <w:p w:rsidR="007A348D" w:rsidRPr="00504025" w:rsidRDefault="007A348D" w:rsidP="007A348D">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GSI0301</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rsidR="007A348D" w:rsidRPr="0041438F" w:rsidRDefault="007A348D" w:rsidP="007A348D">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rsidR="007A348D" w:rsidRPr="0041438F" w:rsidRDefault="007A348D" w:rsidP="007A348D">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rsidR="007A348D" w:rsidRPr="0041438F" w:rsidRDefault="007A348D" w:rsidP="007A348D">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rsidR="007A348D" w:rsidRPr="0041438F" w:rsidRDefault="007A348D" w:rsidP="007A348D">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rsidTr="00B05843">
        <w:trPr>
          <w:trHeight w:val="286"/>
          <w:jc w:val="center"/>
        </w:trPr>
        <w:tc>
          <w:tcPr>
            <w:tcW w:w="8830" w:type="dxa"/>
            <w:gridSpan w:val="5"/>
            <w:vAlign w:val="center"/>
          </w:tcPr>
          <w:p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Equilibrio Financiero</w:t>
            </w:r>
          </w:p>
        </w:tc>
      </w:tr>
      <w:tr w:rsidR="00E8012E" w:rsidRPr="00504025" w:rsidTr="0041438F">
        <w:trPr>
          <w:trHeight w:val="273"/>
          <w:jc w:val="center"/>
        </w:trPr>
        <w:tc>
          <w:tcPr>
            <w:tcW w:w="8830" w:type="dxa"/>
            <w:gridSpan w:val="5"/>
            <w:vAlign w:val="center"/>
          </w:tcPr>
          <w:p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Mide la capacidad del ingreso para atender los gastos de la Institución</w:t>
            </w:r>
          </w:p>
        </w:tc>
      </w:tr>
      <w:tr w:rsidR="00E8012E" w:rsidRPr="00504025" w:rsidTr="00B05843">
        <w:trPr>
          <w:trHeight w:val="51"/>
          <w:jc w:val="center"/>
        </w:trPr>
        <w:tc>
          <w:tcPr>
            <w:tcW w:w="8830" w:type="dxa"/>
            <w:gridSpan w:val="5"/>
            <w:vAlign w:val="center"/>
          </w:tcPr>
          <w:p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Gestión y sostenibilidad Institucional</w:t>
            </w:r>
          </w:p>
        </w:tc>
      </w:tr>
      <w:tr w:rsidR="00E8012E" w:rsidRPr="00504025" w:rsidTr="00B05843">
        <w:trPr>
          <w:trHeight w:val="51"/>
          <w:jc w:val="center"/>
        </w:trPr>
        <w:tc>
          <w:tcPr>
            <w:tcW w:w="8830" w:type="dxa"/>
            <w:gridSpan w:val="5"/>
            <w:vAlign w:val="center"/>
          </w:tcPr>
          <w:p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104090" w:rsidRPr="00104090">
              <w:rPr>
                <w:rFonts w:asciiTheme="minorHAnsi" w:hAnsiTheme="minorHAnsi" w:cs="Arial"/>
                <w:noProof/>
                <w:sz w:val="20"/>
                <w:szCs w:val="20"/>
                <w:lang w:val="es-CO"/>
              </w:rPr>
              <w:t>Fortalecer la sostenibilidad institucional a través de la gestión y la conservación de los recursos financieros, así como por el desarrollo humano y organizacional, que soporten el funcionamiento y la operación de la Institución.</w:t>
            </w:r>
          </w:p>
        </w:tc>
      </w:tr>
      <w:tr w:rsidR="00E8012E" w:rsidRPr="00504025" w:rsidTr="00B05843">
        <w:trPr>
          <w:trHeight w:val="146"/>
          <w:jc w:val="center"/>
        </w:trPr>
        <w:tc>
          <w:tcPr>
            <w:tcW w:w="8830" w:type="dxa"/>
            <w:gridSpan w:val="5"/>
            <w:vAlign w:val="center"/>
          </w:tcPr>
          <w:p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rsidTr="000473A1">
              <w:trPr>
                <w:jc w:val="center"/>
              </w:trPr>
              <w:tc>
                <w:tcPr>
                  <w:tcW w:w="1194"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rsidR="00E8012E" w:rsidRPr="00B90D01" w:rsidRDefault="00E8012E" w:rsidP="00084BF7">
            <w:pPr>
              <w:spacing w:line="0" w:lineRule="atLeast"/>
              <w:rPr>
                <w:rFonts w:asciiTheme="minorHAnsi" w:hAnsiTheme="minorHAnsi" w:cs="Arial"/>
                <w:bCs/>
                <w:sz w:val="2"/>
                <w:szCs w:val="20"/>
                <w:lang w:val="es-CO"/>
              </w:rPr>
            </w:pPr>
          </w:p>
          <w:p w:rsidR="00E8012E" w:rsidRPr="00B90D01" w:rsidRDefault="00E8012E" w:rsidP="00084BF7">
            <w:pPr>
              <w:spacing w:line="0" w:lineRule="atLeast"/>
              <w:rPr>
                <w:rFonts w:asciiTheme="minorHAnsi" w:hAnsiTheme="minorHAnsi" w:cs="Arial"/>
                <w:bCs/>
                <w:sz w:val="4"/>
                <w:szCs w:val="20"/>
                <w:lang w:val="es-CO"/>
              </w:rPr>
            </w:pPr>
          </w:p>
        </w:tc>
      </w:tr>
      <w:tr w:rsidR="00E8012E" w:rsidRPr="00504025" w:rsidTr="00B05843">
        <w:trPr>
          <w:trHeight w:val="92"/>
          <w:jc w:val="center"/>
        </w:trPr>
        <w:tc>
          <w:tcPr>
            <w:tcW w:w="8830" w:type="dxa"/>
            <w:gridSpan w:val="5"/>
            <w:vAlign w:val="center"/>
          </w:tcPr>
          <w:p w:rsidR="00E8012E" w:rsidRPr="00504025" w:rsidRDefault="00E8012E" w:rsidP="00151494">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AC7FE7">
              <w:rPr>
                <w:rFonts w:asciiTheme="minorHAnsi" w:hAnsiTheme="minorHAnsi" w:cs="Arial"/>
                <w:sz w:val="20"/>
                <w:szCs w:val="20"/>
                <w:lang w:val="es-CO"/>
              </w:rPr>
              <w:t>Administración Institucional</w:t>
            </w:r>
          </w:p>
        </w:tc>
      </w:tr>
      <w:tr w:rsidR="00E8012E" w:rsidRPr="00504025" w:rsidTr="00B05843">
        <w:trPr>
          <w:trHeight w:val="268"/>
          <w:jc w:val="center"/>
        </w:trPr>
        <w:tc>
          <w:tcPr>
            <w:tcW w:w="8830" w:type="dxa"/>
            <w:gridSpan w:val="5"/>
            <w:vAlign w:val="center"/>
          </w:tcPr>
          <w:p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rsidR="00907097" w:rsidRDefault="00907097" w:rsidP="00787881">
            <w:pPr>
              <w:spacing w:line="0" w:lineRule="atLeast"/>
              <w:rPr>
                <w:rFonts w:asciiTheme="minorHAnsi" w:hAnsiTheme="minorHAnsi" w:cs="Arial"/>
                <w:b/>
                <w:sz w:val="20"/>
                <w:szCs w:val="20"/>
                <w:lang w:val="es-CO"/>
              </w:rPr>
            </w:pPr>
          </w:p>
          <w:p w:rsidR="00E8012E" w:rsidRPr="00787881" w:rsidRDefault="00E8012E" w:rsidP="0078788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C40ABB">
              <w:rPr>
                <w:rFonts w:asciiTheme="minorHAnsi" w:hAnsiTheme="minorHAnsi" w:cs="Arial"/>
                <w:b/>
                <w:sz w:val="20"/>
                <w:szCs w:val="20"/>
                <w:lang w:val="es-CO"/>
              </w:rPr>
              <w:t>12</w:t>
            </w:r>
            <w:r w:rsidR="00104090">
              <w:rPr>
                <w:rFonts w:asciiTheme="minorHAnsi" w:hAnsiTheme="minorHAnsi" w:cs="Arial"/>
                <w:b/>
                <w:sz w:val="20"/>
                <w:szCs w:val="20"/>
                <w:lang w:val="es-CO"/>
              </w:rPr>
              <w:t>.</w:t>
            </w:r>
            <w:r w:rsidR="00C40ABB">
              <w:rPr>
                <w:rFonts w:asciiTheme="minorHAnsi" w:hAnsiTheme="minorHAnsi" w:cs="Arial"/>
                <w:b/>
                <w:sz w:val="20"/>
                <w:szCs w:val="20"/>
                <w:lang w:val="es-CO"/>
              </w:rPr>
              <w:t xml:space="preserve"> </w:t>
            </w:r>
            <w:r w:rsidR="00C40ABB" w:rsidRPr="00C50B50">
              <w:rPr>
                <w:rFonts w:asciiTheme="minorHAnsi" w:hAnsiTheme="minorHAnsi" w:cs="Arial"/>
                <w:b/>
                <w:sz w:val="20"/>
                <w:szCs w:val="20"/>
                <w:lang w:val="es-CO"/>
              </w:rPr>
              <w:t>RECURSOS FINANCIEROS</w:t>
            </w:r>
          </w:p>
          <w:p w:rsidR="00C40ABB" w:rsidRDefault="00104090" w:rsidP="001C1AF5">
            <w:pPr>
              <w:spacing w:line="0" w:lineRule="atLeast"/>
              <w:rPr>
                <w:rFonts w:asciiTheme="minorHAnsi" w:hAnsiTheme="minorHAnsi" w:cs="Arial"/>
                <w:sz w:val="20"/>
                <w:szCs w:val="20"/>
                <w:lang w:val="es-CO"/>
              </w:rPr>
            </w:pPr>
            <w:r w:rsidRPr="00104090">
              <w:rPr>
                <w:rFonts w:asciiTheme="minorHAnsi" w:hAnsiTheme="minorHAnsi" w:cs="Arial"/>
                <w:b/>
                <w:sz w:val="20"/>
                <w:szCs w:val="20"/>
                <w:lang w:val="es-CO"/>
              </w:rPr>
              <w:t xml:space="preserve">     </w:t>
            </w:r>
            <w:r w:rsidRPr="00104090">
              <w:rPr>
                <w:rFonts w:asciiTheme="minorHAnsi" w:hAnsiTheme="minorHAnsi" w:cs="Arial"/>
                <w:b/>
                <w:sz w:val="20"/>
                <w:szCs w:val="20"/>
                <w:u w:val="single"/>
                <w:lang w:val="es-CO"/>
              </w:rPr>
              <w:t xml:space="preserve">Característica </w:t>
            </w:r>
            <w:r w:rsidR="00C40ABB" w:rsidRPr="00104090">
              <w:rPr>
                <w:rFonts w:asciiTheme="minorHAnsi" w:hAnsiTheme="minorHAnsi" w:cs="Arial"/>
                <w:b/>
                <w:sz w:val="20"/>
                <w:szCs w:val="20"/>
                <w:u w:val="single"/>
                <w:lang w:val="es-CO"/>
              </w:rPr>
              <w:t>30</w:t>
            </w:r>
            <w:r w:rsidRPr="00104090">
              <w:rPr>
                <w:rFonts w:asciiTheme="minorHAnsi" w:hAnsiTheme="minorHAnsi" w:cs="Arial"/>
                <w:b/>
                <w:sz w:val="20"/>
                <w:szCs w:val="20"/>
                <w:u w:val="single"/>
                <w:lang w:val="es-CO"/>
              </w:rPr>
              <w:t>.</w:t>
            </w:r>
            <w:r>
              <w:rPr>
                <w:rFonts w:asciiTheme="minorHAnsi" w:hAnsiTheme="minorHAnsi" w:cs="Arial"/>
                <w:b/>
                <w:sz w:val="20"/>
                <w:szCs w:val="20"/>
                <w:lang w:val="es-CO"/>
              </w:rPr>
              <w:t xml:space="preserve"> </w:t>
            </w:r>
            <w:r w:rsidR="00E34006" w:rsidRPr="00104090">
              <w:rPr>
                <w:rFonts w:asciiTheme="minorHAnsi" w:hAnsiTheme="minorHAnsi" w:cs="Arial"/>
                <w:sz w:val="20"/>
                <w:szCs w:val="20"/>
                <w:lang w:val="es-CO"/>
              </w:rPr>
              <w:t>Recursos, presupuesto y gestión financiera</w:t>
            </w:r>
          </w:p>
          <w:p w:rsidR="006C1B6B" w:rsidRPr="00C50B50" w:rsidRDefault="00104090" w:rsidP="00C50B50">
            <w:pPr>
              <w:spacing w:line="0" w:lineRule="atLeast"/>
              <w:ind w:left="351" w:hanging="351"/>
              <w:rPr>
                <w:rFonts w:asciiTheme="minorHAnsi" w:hAnsiTheme="minorHAnsi" w:cs="Arial"/>
                <w:sz w:val="20"/>
                <w:szCs w:val="20"/>
                <w:lang w:val="es-CO"/>
              </w:rPr>
            </w:pPr>
            <w:r>
              <w:rPr>
                <w:rFonts w:asciiTheme="minorHAnsi" w:hAnsiTheme="minorHAnsi" w:cs="Arial"/>
                <w:b/>
                <w:sz w:val="20"/>
                <w:szCs w:val="20"/>
                <w:lang w:val="es-CO"/>
              </w:rPr>
              <w:t xml:space="preserve">        </w:t>
            </w:r>
            <w:r w:rsidR="00C50B50" w:rsidRPr="00C50B50">
              <w:rPr>
                <w:rFonts w:asciiTheme="minorHAnsi" w:hAnsiTheme="minorHAnsi" w:cs="Arial"/>
                <w:b/>
                <w:sz w:val="20"/>
                <w:szCs w:val="20"/>
                <w:lang w:val="es-CO"/>
              </w:rPr>
              <w:t>Aspecto</w:t>
            </w:r>
            <w:r w:rsidR="00C50B50" w:rsidRPr="00C50B50">
              <w:rPr>
                <w:rFonts w:asciiTheme="minorHAnsi" w:hAnsiTheme="minorHAnsi" w:cs="Arial"/>
                <w:sz w:val="20"/>
                <w:szCs w:val="20"/>
                <w:lang w:val="es-CO"/>
              </w:rPr>
              <w:t xml:space="preserve"> A. </w:t>
            </w:r>
            <w:r w:rsidR="006C1B6B" w:rsidRPr="00C50B50">
              <w:rPr>
                <w:rFonts w:asciiTheme="minorHAnsi" w:hAnsiTheme="minorHAnsi" w:cs="Arial"/>
                <w:sz w:val="20"/>
                <w:szCs w:val="20"/>
                <w:lang w:val="es-CO"/>
              </w:rPr>
              <w:t>Información acerca de las fuentes de financiamiento, los recursos provenientes del Estado, otras fuentes externas y recursos propios.</w:t>
            </w:r>
          </w:p>
          <w:p w:rsidR="006C1B6B" w:rsidRPr="00C50B50" w:rsidRDefault="00C50B50" w:rsidP="00C50B50">
            <w:pPr>
              <w:spacing w:line="0" w:lineRule="atLeast"/>
              <w:ind w:left="360"/>
              <w:rPr>
                <w:rFonts w:asciiTheme="minorHAnsi" w:hAnsiTheme="minorHAnsi" w:cs="Arial"/>
                <w:sz w:val="20"/>
                <w:szCs w:val="20"/>
                <w:lang w:val="es-CO"/>
              </w:rPr>
            </w:pPr>
            <w:r w:rsidRPr="00C50B50">
              <w:rPr>
                <w:rFonts w:asciiTheme="minorHAnsi" w:hAnsiTheme="minorHAnsi" w:cs="Arial"/>
                <w:b/>
                <w:sz w:val="20"/>
                <w:szCs w:val="20"/>
                <w:lang w:val="es-CO"/>
              </w:rPr>
              <w:t>Aspecto</w:t>
            </w:r>
            <w:r w:rsidRPr="00C50B50">
              <w:rPr>
                <w:rFonts w:asciiTheme="minorHAnsi" w:hAnsiTheme="minorHAnsi" w:cs="Arial"/>
                <w:sz w:val="20"/>
                <w:szCs w:val="20"/>
                <w:lang w:val="es-CO"/>
              </w:rPr>
              <w:t xml:space="preserve"> B. </w:t>
            </w:r>
            <w:r w:rsidR="006C1B6B" w:rsidRPr="00C50B50">
              <w:rPr>
                <w:rFonts w:asciiTheme="minorHAnsi" w:hAnsiTheme="minorHAnsi" w:cs="Arial"/>
                <w:sz w:val="20"/>
                <w:szCs w:val="20"/>
                <w:lang w:val="es-CO"/>
              </w:rPr>
              <w:t>Estabilidad y solidez financiera que garantice el cumplimiento, a mediano plazo, de las acciones propuestas en el plan de desarrollo institucional.</w:t>
            </w:r>
          </w:p>
          <w:p w:rsidR="006C1B6B" w:rsidRPr="006C1B6B" w:rsidRDefault="00C50B50" w:rsidP="00C50B50">
            <w:pPr>
              <w:spacing w:line="0" w:lineRule="atLeast"/>
              <w:ind w:left="351"/>
              <w:rPr>
                <w:rFonts w:asciiTheme="minorHAnsi" w:hAnsiTheme="minorHAnsi" w:cs="Arial"/>
                <w:sz w:val="20"/>
                <w:szCs w:val="20"/>
                <w:lang w:val="es-CO"/>
              </w:rPr>
            </w:pPr>
            <w:r w:rsidRPr="0048439D">
              <w:rPr>
                <w:rFonts w:asciiTheme="minorHAnsi" w:hAnsiTheme="minorHAnsi" w:cs="Arial"/>
                <w:b/>
                <w:sz w:val="20"/>
                <w:szCs w:val="20"/>
                <w:lang w:val="es-CO"/>
              </w:rPr>
              <w:t>Aspect</w:t>
            </w:r>
            <w:r>
              <w:rPr>
                <w:rFonts w:asciiTheme="minorHAnsi" w:hAnsiTheme="minorHAnsi" w:cs="Arial"/>
                <w:b/>
                <w:sz w:val="20"/>
                <w:szCs w:val="20"/>
                <w:lang w:val="es-CO"/>
              </w:rPr>
              <w:t xml:space="preserve">o </w:t>
            </w:r>
            <w:r w:rsidRPr="00C50B50">
              <w:rPr>
                <w:rFonts w:asciiTheme="minorHAnsi" w:hAnsiTheme="minorHAnsi" w:cs="Arial"/>
                <w:b/>
                <w:sz w:val="20"/>
                <w:szCs w:val="20"/>
                <w:lang w:val="es-CO"/>
              </w:rPr>
              <w:t>C.</w:t>
            </w:r>
            <w:r>
              <w:rPr>
                <w:rFonts w:asciiTheme="minorHAnsi" w:hAnsiTheme="minorHAnsi" w:cs="Arial"/>
                <w:sz w:val="20"/>
                <w:szCs w:val="20"/>
                <w:lang w:val="es-CO"/>
              </w:rPr>
              <w:t xml:space="preserve"> </w:t>
            </w:r>
            <w:r w:rsidR="006C1B6B" w:rsidRPr="006C1B6B">
              <w:rPr>
                <w:rFonts w:asciiTheme="minorHAnsi" w:hAnsiTheme="minorHAnsi" w:cs="Arial"/>
                <w:sz w:val="20"/>
                <w:szCs w:val="20"/>
                <w:lang w:val="es-CO"/>
              </w:rPr>
              <w:t xml:space="preserve">Políticas y estrategias para la asignación, ejecución y evaluación presupuestal y de ejecución financiera en atención al cumplimiento del Proyecto Educativo Institucional y el logro de las metas del plan de desarrollo institucional. </w:t>
            </w:r>
          </w:p>
          <w:p w:rsidR="006C1B6B" w:rsidRPr="006C1B6B" w:rsidRDefault="00C50B50" w:rsidP="00C50B50">
            <w:pPr>
              <w:pStyle w:val="Prrafodelista"/>
              <w:spacing w:line="0" w:lineRule="atLeast"/>
              <w:ind w:left="351"/>
              <w:rPr>
                <w:rFonts w:asciiTheme="minorHAnsi" w:hAnsiTheme="minorHAnsi" w:cs="Arial"/>
                <w:sz w:val="20"/>
                <w:szCs w:val="20"/>
                <w:lang w:val="es-CO"/>
              </w:rPr>
            </w:pPr>
            <w:r w:rsidRPr="0048439D">
              <w:rPr>
                <w:rFonts w:asciiTheme="minorHAnsi" w:hAnsiTheme="minorHAnsi" w:cs="Arial"/>
                <w:b/>
                <w:sz w:val="20"/>
                <w:szCs w:val="20"/>
                <w:lang w:val="es-CO"/>
              </w:rPr>
              <w:t>Aspecto</w:t>
            </w:r>
            <w:r w:rsidRPr="00104090">
              <w:rPr>
                <w:rFonts w:asciiTheme="minorHAnsi" w:hAnsiTheme="minorHAnsi" w:cs="Arial"/>
                <w:b/>
                <w:sz w:val="20"/>
                <w:szCs w:val="20"/>
                <w:lang w:val="es-CO"/>
              </w:rPr>
              <w:t xml:space="preserve"> </w:t>
            </w:r>
            <w:r w:rsidR="006C1B6B" w:rsidRPr="00104090">
              <w:rPr>
                <w:rFonts w:asciiTheme="minorHAnsi" w:hAnsiTheme="minorHAnsi" w:cs="Arial"/>
                <w:b/>
                <w:sz w:val="20"/>
                <w:szCs w:val="20"/>
                <w:lang w:val="es-CO"/>
              </w:rPr>
              <w:t>F.</w:t>
            </w:r>
            <w:r w:rsidR="006C1B6B" w:rsidRPr="006C1B6B">
              <w:rPr>
                <w:rFonts w:asciiTheme="minorHAnsi" w:hAnsiTheme="minorHAnsi" w:cs="Arial"/>
                <w:sz w:val="20"/>
                <w:szCs w:val="20"/>
                <w:lang w:val="es-CO"/>
              </w:rPr>
              <w:t xml:space="preserve"> </w:t>
            </w:r>
            <w:r w:rsidR="006C1B6B">
              <w:rPr>
                <w:rFonts w:asciiTheme="minorHAnsi" w:hAnsiTheme="minorHAnsi" w:cs="Arial"/>
                <w:sz w:val="20"/>
                <w:szCs w:val="20"/>
                <w:lang w:val="es-CO"/>
              </w:rPr>
              <w:t xml:space="preserve">  </w:t>
            </w:r>
            <w:r w:rsidR="006C1B6B" w:rsidRPr="006C1B6B">
              <w:rPr>
                <w:rFonts w:asciiTheme="minorHAnsi" w:hAnsiTheme="minorHAnsi" w:cs="Arial"/>
                <w:sz w:val="20"/>
                <w:szCs w:val="20"/>
                <w:lang w:val="es-CO"/>
              </w:rPr>
              <w:t xml:space="preserve">Cumplimiento de los requerimientos presupuestales que se desprenden del proyecto institucional y de las actividades académicas y de bienestar. </w:t>
            </w:r>
            <w:r w:rsidR="00907097" w:rsidRPr="006C1B6B">
              <w:rPr>
                <w:rFonts w:asciiTheme="minorHAnsi" w:hAnsiTheme="minorHAnsi" w:cs="Arial"/>
                <w:sz w:val="20"/>
                <w:szCs w:val="20"/>
                <w:lang w:val="es-CO"/>
              </w:rPr>
              <w:t xml:space="preserve">        </w:t>
            </w:r>
          </w:p>
          <w:p w:rsidR="00C40ABB" w:rsidRDefault="00C50B50" w:rsidP="006C1B6B">
            <w:pPr>
              <w:spacing w:line="0" w:lineRule="atLeast"/>
              <w:ind w:left="634" w:hanging="283"/>
              <w:rPr>
                <w:rFonts w:asciiTheme="minorHAnsi" w:hAnsiTheme="minorHAnsi" w:cs="Arial"/>
                <w:sz w:val="20"/>
                <w:szCs w:val="20"/>
                <w:lang w:val="es-CO"/>
              </w:rPr>
            </w:pPr>
            <w:r w:rsidRPr="0048439D">
              <w:rPr>
                <w:rFonts w:asciiTheme="minorHAnsi" w:hAnsiTheme="minorHAnsi" w:cs="Arial"/>
                <w:b/>
                <w:sz w:val="20"/>
                <w:szCs w:val="20"/>
                <w:lang w:val="es-CO"/>
              </w:rPr>
              <w:t>Aspecto</w:t>
            </w:r>
            <w:r w:rsidRPr="00104090">
              <w:rPr>
                <w:rFonts w:asciiTheme="minorHAnsi" w:hAnsiTheme="minorHAnsi" w:cs="Arial"/>
                <w:b/>
                <w:sz w:val="20"/>
                <w:szCs w:val="20"/>
                <w:lang w:val="es-CO"/>
              </w:rPr>
              <w:t xml:space="preserve"> </w:t>
            </w:r>
            <w:r w:rsidR="006C1B6B" w:rsidRPr="00104090">
              <w:rPr>
                <w:rFonts w:asciiTheme="minorHAnsi" w:hAnsiTheme="minorHAnsi" w:cs="Arial"/>
                <w:b/>
                <w:sz w:val="20"/>
                <w:szCs w:val="20"/>
                <w:lang w:val="es-CO"/>
              </w:rPr>
              <w:t>G.</w:t>
            </w:r>
            <w:r w:rsidR="006C1B6B">
              <w:rPr>
                <w:rFonts w:asciiTheme="minorHAnsi" w:hAnsiTheme="minorHAnsi" w:cs="Arial"/>
                <w:sz w:val="20"/>
                <w:szCs w:val="20"/>
                <w:lang w:val="es-CO"/>
              </w:rPr>
              <w:t xml:space="preserve">  </w:t>
            </w:r>
            <w:r w:rsidR="006C1B6B" w:rsidRPr="006C1B6B">
              <w:rPr>
                <w:rFonts w:asciiTheme="minorHAnsi" w:hAnsiTheme="minorHAnsi" w:cs="Arial"/>
                <w:sz w:val="20"/>
                <w:szCs w:val="20"/>
                <w:lang w:val="es-CO"/>
              </w:rPr>
              <w:t xml:space="preserve">Organización eficiente y funcionarios eficaces para el manejo financiero. </w:t>
            </w:r>
          </w:p>
          <w:p w:rsidR="006C1B6B" w:rsidRPr="00C40ABB" w:rsidRDefault="006C1B6B" w:rsidP="006C1B6B">
            <w:pPr>
              <w:spacing w:line="0" w:lineRule="atLeast"/>
              <w:ind w:left="634" w:hanging="283"/>
              <w:rPr>
                <w:rFonts w:asciiTheme="minorHAnsi" w:hAnsiTheme="minorHAnsi" w:cs="Arial"/>
                <w:sz w:val="20"/>
                <w:szCs w:val="20"/>
                <w:lang w:val="es-CO"/>
              </w:rPr>
            </w:pPr>
          </w:p>
          <w:p w:rsidR="00E8012E" w:rsidRPr="00787881" w:rsidRDefault="00E8012E" w:rsidP="00104090">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054B23">
              <w:rPr>
                <w:rFonts w:asciiTheme="minorHAnsi" w:hAnsiTheme="minorHAnsi" w:cs="Arial"/>
                <w:b/>
                <w:sz w:val="20"/>
                <w:szCs w:val="20"/>
                <w:lang w:val="es-CO"/>
              </w:rPr>
              <w:t>10</w:t>
            </w:r>
            <w:r w:rsidR="00104090">
              <w:rPr>
                <w:rFonts w:asciiTheme="minorHAnsi" w:hAnsiTheme="minorHAnsi" w:cs="Arial"/>
                <w:b/>
                <w:sz w:val="20"/>
                <w:szCs w:val="20"/>
                <w:lang w:val="es-CO"/>
              </w:rPr>
              <w:t>.</w:t>
            </w:r>
            <w:r w:rsidRPr="00787881">
              <w:rPr>
                <w:rFonts w:asciiTheme="minorHAnsi" w:hAnsiTheme="minorHAnsi" w:cs="Arial"/>
                <w:b/>
                <w:sz w:val="20"/>
                <w:szCs w:val="20"/>
                <w:lang w:val="es-CO"/>
              </w:rPr>
              <w:t xml:space="preserve"> </w:t>
            </w:r>
            <w:r w:rsidR="00054B23" w:rsidRPr="00C50B50">
              <w:rPr>
                <w:rFonts w:asciiTheme="minorHAnsi" w:hAnsiTheme="minorHAnsi" w:cs="Arial"/>
                <w:b/>
                <w:sz w:val="20"/>
                <w:szCs w:val="20"/>
                <w:lang w:val="es-CO"/>
              </w:rPr>
              <w:t>ORGANIZACIÓN, GESTIÓN Y ADMINISTRACIÓN</w:t>
            </w:r>
          </w:p>
          <w:p w:rsidR="00E8012E" w:rsidRDefault="00104090" w:rsidP="001C1AF5">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      </w:t>
            </w:r>
            <w:r w:rsidRPr="00104090">
              <w:rPr>
                <w:rFonts w:asciiTheme="minorHAnsi" w:hAnsiTheme="minorHAnsi" w:cs="Arial"/>
                <w:b/>
                <w:sz w:val="20"/>
                <w:szCs w:val="20"/>
                <w:u w:val="single"/>
                <w:lang w:val="es-CO"/>
              </w:rPr>
              <w:t xml:space="preserve">Característica </w:t>
            </w:r>
            <w:r w:rsidR="00054B23" w:rsidRPr="00104090">
              <w:rPr>
                <w:rFonts w:asciiTheme="minorHAnsi" w:hAnsiTheme="minorHAnsi" w:cs="Arial"/>
                <w:b/>
                <w:sz w:val="20"/>
                <w:szCs w:val="20"/>
                <w:u w:val="single"/>
                <w:lang w:val="es-CO"/>
              </w:rPr>
              <w:t>27</w:t>
            </w:r>
            <w:r w:rsidRPr="00104090">
              <w:rPr>
                <w:rFonts w:asciiTheme="minorHAnsi" w:hAnsiTheme="minorHAnsi" w:cs="Arial"/>
                <w:b/>
                <w:sz w:val="20"/>
                <w:szCs w:val="20"/>
                <w:u w:val="single"/>
                <w:lang w:val="es-CO"/>
              </w:rPr>
              <w:t>.</w:t>
            </w:r>
            <w:r w:rsidR="00E34006">
              <w:rPr>
                <w:rFonts w:asciiTheme="minorHAnsi" w:hAnsiTheme="minorHAnsi" w:cs="Arial"/>
                <w:b/>
                <w:sz w:val="20"/>
                <w:szCs w:val="20"/>
                <w:lang w:val="es-CO"/>
              </w:rPr>
              <w:t xml:space="preserve"> </w:t>
            </w:r>
            <w:r w:rsidR="00E34006" w:rsidRPr="00104090">
              <w:rPr>
                <w:rFonts w:asciiTheme="minorHAnsi" w:hAnsiTheme="minorHAnsi" w:cs="Arial"/>
                <w:sz w:val="20"/>
                <w:szCs w:val="20"/>
                <w:lang w:val="es-CO"/>
              </w:rPr>
              <w:t>Capacidad de gestión</w:t>
            </w:r>
            <w:r w:rsidR="00E8012E" w:rsidRPr="00D95F71">
              <w:rPr>
                <w:rFonts w:asciiTheme="minorHAnsi" w:hAnsiTheme="minorHAnsi" w:cs="Arial"/>
                <w:color w:val="FF0000"/>
                <w:sz w:val="20"/>
                <w:szCs w:val="20"/>
                <w:highlight w:val="yellow"/>
                <w:lang w:val="es-CO"/>
              </w:rPr>
              <w:t xml:space="preserve"> </w:t>
            </w:r>
          </w:p>
          <w:p w:rsidR="0064338C" w:rsidRPr="001456A5" w:rsidRDefault="00104090" w:rsidP="00C50B50">
            <w:pPr>
              <w:spacing w:line="0" w:lineRule="atLeast"/>
              <w:ind w:left="492" w:hanging="425"/>
              <w:rPr>
                <w:rFonts w:asciiTheme="minorHAnsi" w:hAnsiTheme="minorHAnsi" w:cs="Arial"/>
                <w:sz w:val="20"/>
                <w:szCs w:val="20"/>
                <w:lang w:val="es-CO"/>
              </w:rPr>
            </w:pPr>
            <w:r>
              <w:rPr>
                <w:rFonts w:asciiTheme="minorHAnsi" w:hAnsiTheme="minorHAnsi" w:cs="Arial"/>
                <w:b/>
                <w:sz w:val="20"/>
                <w:szCs w:val="20"/>
                <w:lang w:val="es-CO"/>
              </w:rPr>
              <w:t xml:space="preserve">          </w:t>
            </w:r>
            <w:r w:rsidR="00C50B50" w:rsidRPr="0048439D">
              <w:rPr>
                <w:rFonts w:asciiTheme="minorHAnsi" w:hAnsiTheme="minorHAnsi" w:cs="Arial"/>
                <w:b/>
                <w:sz w:val="20"/>
                <w:szCs w:val="20"/>
                <w:lang w:val="es-CO"/>
              </w:rPr>
              <w:t>Aspecto</w:t>
            </w:r>
            <w:r w:rsidR="00C50B50" w:rsidRPr="00104090">
              <w:rPr>
                <w:rFonts w:asciiTheme="minorHAnsi" w:hAnsiTheme="minorHAnsi" w:cs="Arial"/>
                <w:b/>
                <w:sz w:val="20"/>
                <w:szCs w:val="20"/>
                <w:lang w:val="es-CO"/>
              </w:rPr>
              <w:t xml:space="preserve"> </w:t>
            </w:r>
            <w:r w:rsidR="00373896" w:rsidRPr="00104090">
              <w:rPr>
                <w:rFonts w:asciiTheme="minorHAnsi" w:hAnsiTheme="minorHAnsi" w:cs="Arial"/>
                <w:b/>
                <w:sz w:val="20"/>
                <w:szCs w:val="20"/>
                <w:lang w:val="es-CO"/>
              </w:rPr>
              <w:t>E.</w:t>
            </w:r>
            <w:r w:rsidR="00373896" w:rsidRPr="00373896">
              <w:rPr>
                <w:rFonts w:asciiTheme="minorHAnsi" w:hAnsiTheme="minorHAnsi" w:cs="Arial"/>
                <w:sz w:val="20"/>
                <w:szCs w:val="20"/>
                <w:lang w:val="es-CO"/>
              </w:rPr>
              <w:t xml:space="preserve"> </w:t>
            </w:r>
            <w:r w:rsidR="001456A5">
              <w:rPr>
                <w:rFonts w:asciiTheme="minorHAnsi" w:hAnsiTheme="minorHAnsi" w:cs="Arial"/>
                <w:sz w:val="20"/>
                <w:szCs w:val="20"/>
                <w:lang w:val="es-CO"/>
              </w:rPr>
              <w:t xml:space="preserve">  </w:t>
            </w:r>
            <w:r w:rsidR="006C1FB7" w:rsidRPr="00373896">
              <w:rPr>
                <w:rFonts w:asciiTheme="minorHAnsi" w:hAnsiTheme="minorHAnsi" w:cs="Arial"/>
                <w:sz w:val="20"/>
                <w:szCs w:val="20"/>
                <w:lang w:val="es-CO"/>
              </w:rPr>
              <w:t>Estructura organizacional</w:t>
            </w:r>
            <w:r w:rsidR="00373896" w:rsidRPr="00373896">
              <w:rPr>
                <w:rFonts w:asciiTheme="minorHAnsi" w:hAnsiTheme="minorHAnsi" w:cs="Arial"/>
                <w:sz w:val="20"/>
                <w:szCs w:val="20"/>
                <w:lang w:val="es-CO"/>
              </w:rPr>
              <w:t xml:space="preserve"> y administrativa que permite la estabilidad institucional y la continuidad de </w:t>
            </w:r>
            <w:r w:rsidR="006C1FB7" w:rsidRPr="00373896">
              <w:rPr>
                <w:rFonts w:asciiTheme="minorHAnsi" w:hAnsiTheme="minorHAnsi" w:cs="Arial"/>
                <w:sz w:val="20"/>
                <w:szCs w:val="20"/>
                <w:lang w:val="es-CO"/>
              </w:rPr>
              <w:t>políticas, dentro</w:t>
            </w:r>
            <w:r w:rsidR="00373896" w:rsidRPr="00373896">
              <w:rPr>
                <w:rFonts w:asciiTheme="minorHAnsi" w:hAnsiTheme="minorHAnsi" w:cs="Arial"/>
                <w:sz w:val="20"/>
                <w:szCs w:val="20"/>
                <w:lang w:val="es-CO"/>
              </w:rPr>
              <w:t xml:space="preserve"> de criterios académicos.</w:t>
            </w:r>
          </w:p>
          <w:p w:rsidR="00B04625" w:rsidRDefault="00B04625" w:rsidP="001C1AF5">
            <w:pPr>
              <w:spacing w:line="0" w:lineRule="atLeast"/>
              <w:rPr>
                <w:rFonts w:asciiTheme="minorHAnsi" w:hAnsiTheme="minorHAnsi" w:cs="Arial"/>
                <w:b/>
                <w:sz w:val="20"/>
                <w:szCs w:val="20"/>
                <w:lang w:val="es-CO"/>
              </w:rPr>
            </w:pPr>
          </w:p>
          <w:p w:rsidR="00E8012E" w:rsidRPr="00104090" w:rsidRDefault="00E8012E" w:rsidP="001C1AF5">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FACTOR </w:t>
            </w:r>
            <w:r w:rsidR="00C54157">
              <w:rPr>
                <w:rFonts w:asciiTheme="minorHAnsi" w:hAnsiTheme="minorHAnsi" w:cs="Arial"/>
                <w:b/>
                <w:sz w:val="20"/>
                <w:szCs w:val="20"/>
                <w:lang w:val="es-CO"/>
              </w:rPr>
              <w:t>1</w:t>
            </w:r>
            <w:r w:rsidR="00104090">
              <w:rPr>
                <w:rFonts w:asciiTheme="minorHAnsi" w:hAnsiTheme="minorHAnsi" w:cs="Arial"/>
                <w:b/>
                <w:sz w:val="20"/>
                <w:szCs w:val="20"/>
                <w:lang w:val="es-CO"/>
              </w:rPr>
              <w:t>.</w:t>
            </w:r>
            <w:r w:rsidR="00C54157">
              <w:rPr>
                <w:rFonts w:asciiTheme="minorHAnsi" w:hAnsiTheme="minorHAnsi" w:cs="Arial"/>
                <w:b/>
                <w:sz w:val="20"/>
                <w:szCs w:val="20"/>
                <w:lang w:val="es-CO"/>
              </w:rPr>
              <w:t xml:space="preserve"> </w:t>
            </w:r>
            <w:r w:rsidR="00C54157" w:rsidRPr="00C50B50">
              <w:rPr>
                <w:rFonts w:asciiTheme="minorHAnsi" w:hAnsiTheme="minorHAnsi" w:cs="Arial"/>
                <w:b/>
                <w:sz w:val="20"/>
                <w:szCs w:val="20"/>
                <w:lang w:val="es-CO"/>
              </w:rPr>
              <w:t>MISIÓN Y PROYECTO INSTITUCIONAL</w:t>
            </w:r>
          </w:p>
          <w:p w:rsidR="00E8012E" w:rsidRPr="00104090" w:rsidRDefault="00104090" w:rsidP="00D95F71">
            <w:pPr>
              <w:spacing w:line="0" w:lineRule="atLeast"/>
              <w:rPr>
                <w:rFonts w:asciiTheme="minorHAnsi" w:hAnsiTheme="minorHAnsi" w:cs="Arial"/>
                <w:color w:val="FF0000"/>
                <w:sz w:val="20"/>
                <w:szCs w:val="20"/>
                <w:lang w:val="es-CO"/>
              </w:rPr>
            </w:pPr>
            <w:r>
              <w:rPr>
                <w:rFonts w:asciiTheme="minorHAnsi" w:hAnsiTheme="minorHAnsi" w:cs="Arial"/>
                <w:b/>
                <w:sz w:val="20"/>
                <w:szCs w:val="20"/>
                <w:lang w:val="es-CO"/>
              </w:rPr>
              <w:t xml:space="preserve">      </w:t>
            </w:r>
            <w:r w:rsidRPr="00104090">
              <w:rPr>
                <w:rFonts w:asciiTheme="minorHAnsi" w:hAnsiTheme="minorHAnsi" w:cs="Arial"/>
                <w:b/>
                <w:sz w:val="20"/>
                <w:szCs w:val="20"/>
                <w:u w:val="single"/>
                <w:lang w:val="es-CO"/>
              </w:rPr>
              <w:t>Característica</w:t>
            </w:r>
            <w:r w:rsidR="00E8012E" w:rsidRPr="00104090">
              <w:rPr>
                <w:rFonts w:asciiTheme="minorHAnsi" w:hAnsiTheme="minorHAnsi" w:cs="Arial"/>
                <w:b/>
                <w:sz w:val="20"/>
                <w:szCs w:val="20"/>
                <w:u w:val="single"/>
                <w:lang w:val="es-CO"/>
              </w:rPr>
              <w:t xml:space="preserve"> </w:t>
            </w:r>
            <w:r w:rsidR="00FD1DDF" w:rsidRPr="00104090">
              <w:rPr>
                <w:rFonts w:asciiTheme="minorHAnsi" w:hAnsiTheme="minorHAnsi" w:cs="Arial"/>
                <w:b/>
                <w:sz w:val="20"/>
                <w:szCs w:val="20"/>
                <w:u w:val="single"/>
                <w:lang w:val="es-CO"/>
              </w:rPr>
              <w:t>1</w:t>
            </w:r>
            <w:r w:rsidRPr="00104090">
              <w:rPr>
                <w:rFonts w:asciiTheme="minorHAnsi" w:hAnsiTheme="minorHAnsi" w:cs="Arial"/>
                <w:b/>
                <w:sz w:val="20"/>
                <w:szCs w:val="20"/>
                <w:u w:val="single"/>
                <w:lang w:val="es-CO"/>
              </w:rPr>
              <w:t>.</w:t>
            </w:r>
            <w:r w:rsidR="00E34006">
              <w:rPr>
                <w:rFonts w:asciiTheme="minorHAnsi" w:hAnsiTheme="minorHAnsi" w:cs="Arial"/>
                <w:b/>
                <w:sz w:val="20"/>
                <w:szCs w:val="20"/>
                <w:lang w:val="es-CO"/>
              </w:rPr>
              <w:t xml:space="preserve"> </w:t>
            </w:r>
            <w:r w:rsidR="00E34006" w:rsidRPr="00104090">
              <w:rPr>
                <w:rFonts w:asciiTheme="minorHAnsi" w:hAnsiTheme="minorHAnsi" w:cs="Arial"/>
                <w:sz w:val="20"/>
                <w:szCs w:val="20"/>
                <w:lang w:val="es-CO"/>
              </w:rPr>
              <w:t>Coherencia y pertinencia de la Misión</w:t>
            </w:r>
          </w:p>
          <w:p w:rsidR="00CE2F9A" w:rsidRPr="00787881" w:rsidRDefault="00104090" w:rsidP="00C50B50">
            <w:pPr>
              <w:spacing w:line="0" w:lineRule="atLeast"/>
              <w:ind w:left="492" w:hanging="492"/>
              <w:rPr>
                <w:rFonts w:asciiTheme="minorHAnsi" w:hAnsiTheme="minorHAnsi" w:cs="Arial"/>
                <w:sz w:val="20"/>
                <w:szCs w:val="20"/>
                <w:lang w:val="es-CO"/>
              </w:rPr>
            </w:pPr>
            <w:r>
              <w:rPr>
                <w:rFonts w:asciiTheme="minorHAnsi" w:hAnsiTheme="minorHAnsi" w:cs="Arial"/>
                <w:b/>
                <w:sz w:val="20"/>
                <w:szCs w:val="20"/>
                <w:lang w:val="es-CO"/>
              </w:rPr>
              <w:t xml:space="preserve">           </w:t>
            </w:r>
            <w:r w:rsidR="00C50B50" w:rsidRPr="0048439D">
              <w:rPr>
                <w:rFonts w:asciiTheme="minorHAnsi" w:hAnsiTheme="minorHAnsi" w:cs="Arial"/>
                <w:b/>
                <w:sz w:val="20"/>
                <w:szCs w:val="20"/>
                <w:lang w:val="es-CO"/>
              </w:rPr>
              <w:t>Aspecto</w:t>
            </w:r>
            <w:r w:rsidR="00C50B50" w:rsidRPr="00104090">
              <w:rPr>
                <w:rFonts w:asciiTheme="minorHAnsi" w:hAnsiTheme="minorHAnsi" w:cs="Arial"/>
                <w:b/>
                <w:sz w:val="20"/>
                <w:szCs w:val="20"/>
                <w:lang w:val="es-CO"/>
              </w:rPr>
              <w:t xml:space="preserve"> </w:t>
            </w:r>
            <w:r w:rsidR="006C1FB7" w:rsidRPr="00104090">
              <w:rPr>
                <w:rFonts w:asciiTheme="minorHAnsi" w:hAnsiTheme="minorHAnsi" w:cs="Arial"/>
                <w:b/>
                <w:sz w:val="20"/>
                <w:szCs w:val="20"/>
                <w:lang w:val="es-CO"/>
              </w:rPr>
              <w:t>F.</w:t>
            </w:r>
            <w:r w:rsidR="006C1FB7" w:rsidRPr="006C1FB7">
              <w:rPr>
                <w:rFonts w:asciiTheme="minorHAnsi" w:hAnsiTheme="minorHAnsi" w:cs="Arial"/>
                <w:sz w:val="20"/>
                <w:szCs w:val="20"/>
                <w:lang w:val="es-CO"/>
              </w:rPr>
              <w:t xml:space="preserve"> </w:t>
            </w:r>
            <w:r w:rsidR="006C1FB7">
              <w:rPr>
                <w:rFonts w:asciiTheme="minorHAnsi" w:hAnsiTheme="minorHAnsi" w:cs="Arial"/>
                <w:sz w:val="20"/>
                <w:szCs w:val="20"/>
                <w:lang w:val="es-CO"/>
              </w:rPr>
              <w:t xml:space="preserve">   </w:t>
            </w:r>
            <w:r w:rsidR="006C1FB7" w:rsidRPr="006C1FB7">
              <w:rPr>
                <w:rFonts w:asciiTheme="minorHAnsi" w:hAnsiTheme="minorHAnsi" w:cs="Arial"/>
                <w:sz w:val="20"/>
                <w:szCs w:val="20"/>
                <w:lang w:val="es-CO"/>
              </w:rPr>
              <w:t>Coherencia entre la naturaleza de la institución, lo que dice ser a trav</w:t>
            </w:r>
            <w:r w:rsidR="00C50B50">
              <w:rPr>
                <w:rFonts w:asciiTheme="minorHAnsi" w:hAnsiTheme="minorHAnsi" w:cs="Arial"/>
                <w:sz w:val="20"/>
                <w:szCs w:val="20"/>
                <w:lang w:val="es-CO"/>
              </w:rPr>
              <w:t>és de su misión, la información</w:t>
            </w:r>
            <w:r w:rsidR="00B04625">
              <w:rPr>
                <w:rFonts w:asciiTheme="minorHAnsi" w:hAnsiTheme="minorHAnsi" w:cs="Arial"/>
                <w:sz w:val="20"/>
                <w:szCs w:val="20"/>
                <w:lang w:val="es-CO"/>
              </w:rPr>
              <w:t xml:space="preserve"> </w:t>
            </w:r>
            <w:r w:rsidR="006C1FB7" w:rsidRPr="006C1FB7">
              <w:rPr>
                <w:rFonts w:asciiTheme="minorHAnsi" w:hAnsiTheme="minorHAnsi" w:cs="Arial"/>
                <w:sz w:val="20"/>
                <w:szCs w:val="20"/>
                <w:lang w:val="es-CO"/>
              </w:rPr>
              <w:t>que suministra y la imagen que da a la sociedad.</w:t>
            </w:r>
          </w:p>
        </w:tc>
      </w:tr>
      <w:tr w:rsidR="00E8012E" w:rsidRPr="00504025" w:rsidTr="00EA0513">
        <w:trPr>
          <w:trHeight w:val="1061"/>
          <w:jc w:val="center"/>
        </w:trPr>
        <w:tc>
          <w:tcPr>
            <w:tcW w:w="8830" w:type="dxa"/>
            <w:gridSpan w:val="5"/>
            <w:vAlign w:val="center"/>
          </w:tcPr>
          <w:p w:rsidR="00E8012E"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 xml:space="preserve">Periodicidad de medición: </w:t>
            </w:r>
          </w:p>
          <w:p w:rsidR="0064338C" w:rsidRPr="00504025" w:rsidRDefault="0064338C"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rsidTr="000473A1">
              <w:trPr>
                <w:jc w:val="center"/>
              </w:trPr>
              <w:tc>
                <w:tcPr>
                  <w:tcW w:w="1194"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rsidR="00E8012E" w:rsidRPr="00504025" w:rsidRDefault="00E8012E" w:rsidP="00AC700E">
                  <w:pPr>
                    <w:spacing w:line="0" w:lineRule="atLeast"/>
                    <w:rPr>
                      <w:rFonts w:asciiTheme="minorHAnsi" w:hAnsiTheme="minorHAnsi" w:cs="Arial"/>
                      <w:noProof/>
                      <w:sz w:val="20"/>
                      <w:szCs w:val="20"/>
                    </w:rPr>
                  </w:pPr>
                </w:p>
              </w:tc>
              <w:tc>
                <w:tcPr>
                  <w:tcW w:w="1653"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rsidR="00E8012E" w:rsidRPr="00504025" w:rsidRDefault="00E8012E" w:rsidP="00AC700E">
                  <w:pPr>
                    <w:spacing w:line="0" w:lineRule="atLeast"/>
                    <w:rPr>
                      <w:rFonts w:asciiTheme="minorHAnsi" w:hAnsiTheme="minorHAnsi" w:cs="Arial"/>
                      <w:noProof/>
                      <w:sz w:val="20"/>
                      <w:szCs w:val="20"/>
                    </w:rPr>
                  </w:pPr>
                </w:p>
              </w:tc>
              <w:tc>
                <w:tcPr>
                  <w:tcW w:w="798"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rsidR="00E8012E" w:rsidRPr="00504025" w:rsidRDefault="00F57621"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r>
          </w:tbl>
          <w:p w:rsidR="00E8012E" w:rsidRPr="00504025" w:rsidRDefault="00E8012E" w:rsidP="00FC44D7">
            <w:pPr>
              <w:spacing w:line="0" w:lineRule="atLeast"/>
              <w:rPr>
                <w:rFonts w:asciiTheme="minorHAnsi" w:hAnsiTheme="minorHAnsi" w:cs="Arial"/>
                <w:sz w:val="20"/>
                <w:szCs w:val="20"/>
                <w:lang w:val="es-CO"/>
              </w:rPr>
            </w:pPr>
          </w:p>
        </w:tc>
      </w:tr>
      <w:tr w:rsidR="00E8012E" w:rsidRPr="00504025" w:rsidTr="00B05843">
        <w:trPr>
          <w:trHeight w:val="397"/>
          <w:jc w:val="center"/>
        </w:trPr>
        <w:tc>
          <w:tcPr>
            <w:tcW w:w="8830" w:type="dxa"/>
            <w:gridSpan w:val="5"/>
            <w:vAlign w:val="center"/>
          </w:tcPr>
          <w:p w:rsidR="00142765" w:rsidRDefault="00E8012E" w:rsidP="00116652">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p>
          <w:p w:rsidR="00733518" w:rsidRPr="00EA4EAB" w:rsidRDefault="00116652" w:rsidP="00116652">
            <w:pPr>
              <w:spacing w:line="0" w:lineRule="atLeast"/>
              <w:rPr>
                <w:rFonts w:asciiTheme="minorHAnsi" w:hAnsiTheme="minorHAnsi" w:cs="Arial"/>
                <w:sz w:val="20"/>
                <w:szCs w:val="20"/>
                <w:lang w:val="es-CO"/>
              </w:rPr>
            </w:pPr>
            <w:r w:rsidRPr="00EA4EAB">
              <w:rPr>
                <w:rFonts w:asciiTheme="minorHAnsi" w:hAnsiTheme="minorHAnsi" w:cs="Arial"/>
                <w:sz w:val="20"/>
                <w:szCs w:val="20"/>
                <w:lang w:val="es-CO"/>
              </w:rPr>
              <w:t>Informe de ejecución ingresos – Gestión contable</w:t>
            </w:r>
            <w:r w:rsidR="00733518" w:rsidRPr="00EA4EAB">
              <w:rPr>
                <w:rFonts w:asciiTheme="minorHAnsi" w:hAnsiTheme="minorHAnsi" w:cs="Arial"/>
                <w:sz w:val="20"/>
                <w:szCs w:val="20"/>
                <w:lang w:val="es-CO"/>
              </w:rPr>
              <w:t xml:space="preserve"> </w:t>
            </w:r>
          </w:p>
          <w:p w:rsidR="00116652" w:rsidRPr="00EA4EAB" w:rsidRDefault="00733518" w:rsidP="00116652">
            <w:pPr>
              <w:spacing w:line="0" w:lineRule="atLeast"/>
              <w:rPr>
                <w:rFonts w:asciiTheme="minorHAnsi" w:hAnsiTheme="minorHAnsi" w:cs="Arial"/>
                <w:sz w:val="20"/>
                <w:szCs w:val="20"/>
                <w:lang w:val="es-CO"/>
              </w:rPr>
            </w:pPr>
            <w:r w:rsidRPr="00EA4EAB">
              <w:rPr>
                <w:rFonts w:asciiTheme="minorHAnsi" w:hAnsiTheme="minorHAnsi" w:cs="Arial"/>
                <w:sz w:val="20"/>
                <w:szCs w:val="20"/>
                <w:lang w:val="es-CO"/>
              </w:rPr>
              <w:t>Informe ejecución de ingresos para indicadores cierre de vigencia – Gestión Financiera</w:t>
            </w:r>
          </w:p>
          <w:p w:rsidR="00116652" w:rsidRPr="00EA4EAB" w:rsidRDefault="00116652" w:rsidP="00116652">
            <w:pPr>
              <w:spacing w:line="0" w:lineRule="atLeast"/>
              <w:rPr>
                <w:rFonts w:asciiTheme="minorHAnsi" w:hAnsiTheme="minorHAnsi" w:cs="Arial"/>
                <w:sz w:val="20"/>
                <w:szCs w:val="20"/>
                <w:lang w:val="es-CO"/>
              </w:rPr>
            </w:pPr>
          </w:p>
          <w:p w:rsidR="00E8012E" w:rsidRDefault="0077335D" w:rsidP="0077335D">
            <w:pPr>
              <w:spacing w:line="0" w:lineRule="atLeast"/>
              <w:rPr>
                <w:rFonts w:asciiTheme="minorHAnsi" w:hAnsiTheme="minorHAnsi" w:cs="Arial"/>
                <w:sz w:val="20"/>
                <w:szCs w:val="20"/>
                <w:lang w:val="es-CO"/>
              </w:rPr>
            </w:pPr>
            <w:r w:rsidRPr="00EA4EAB">
              <w:rPr>
                <w:rFonts w:asciiTheme="minorHAnsi" w:hAnsiTheme="minorHAnsi" w:cs="Arial"/>
                <w:sz w:val="20"/>
                <w:szCs w:val="20"/>
                <w:lang w:val="es-CO"/>
              </w:rPr>
              <w:t>I</w:t>
            </w:r>
            <w:r w:rsidR="00116652" w:rsidRPr="00EA4EAB">
              <w:rPr>
                <w:rFonts w:asciiTheme="minorHAnsi" w:hAnsiTheme="minorHAnsi" w:cs="Arial"/>
                <w:sz w:val="20"/>
                <w:szCs w:val="20"/>
                <w:lang w:val="es-CO"/>
              </w:rPr>
              <w:t>nforme de ejecución presupuestal de gastos</w:t>
            </w:r>
            <w:r w:rsidRPr="00EA4EAB">
              <w:rPr>
                <w:rFonts w:asciiTheme="minorHAnsi" w:hAnsiTheme="minorHAnsi" w:cs="Arial"/>
                <w:sz w:val="20"/>
                <w:szCs w:val="20"/>
                <w:lang w:val="es-CO"/>
              </w:rPr>
              <w:t xml:space="preserve"> – Aplicativo </w:t>
            </w:r>
            <w:r w:rsidR="00A50924" w:rsidRPr="00EA4EAB">
              <w:rPr>
                <w:rFonts w:asciiTheme="minorHAnsi" w:hAnsiTheme="minorHAnsi" w:cs="Arial"/>
                <w:sz w:val="20"/>
                <w:szCs w:val="20"/>
                <w:lang w:val="es-CO"/>
              </w:rPr>
              <w:t>PCT Consultas</w:t>
            </w:r>
          </w:p>
          <w:p w:rsidR="008F24A3" w:rsidRPr="00504025" w:rsidRDefault="008F24A3" w:rsidP="0077335D">
            <w:pPr>
              <w:spacing w:line="0" w:lineRule="atLeast"/>
              <w:rPr>
                <w:rFonts w:asciiTheme="minorHAnsi" w:hAnsiTheme="minorHAnsi" w:cs="Arial"/>
                <w:sz w:val="20"/>
                <w:szCs w:val="20"/>
                <w:lang w:val="es-CO"/>
              </w:rPr>
            </w:pPr>
            <w:r>
              <w:rPr>
                <w:rFonts w:asciiTheme="minorHAnsi" w:hAnsiTheme="minorHAnsi" w:cs="Arial"/>
                <w:sz w:val="20"/>
                <w:szCs w:val="20"/>
                <w:lang w:val="es-CO"/>
              </w:rPr>
              <w:t>informe presupuestal de gastos para indicadores cierre de vigencia – Gestión de presupuesto.</w:t>
            </w:r>
          </w:p>
        </w:tc>
      </w:tr>
      <w:tr w:rsidR="00E8012E" w:rsidRPr="00504025" w:rsidTr="00B05843">
        <w:trPr>
          <w:trHeight w:val="397"/>
          <w:jc w:val="center"/>
        </w:trPr>
        <w:tc>
          <w:tcPr>
            <w:tcW w:w="8830" w:type="dxa"/>
            <w:gridSpan w:val="5"/>
            <w:vAlign w:val="center"/>
          </w:tcPr>
          <w:p w:rsidR="00E8012E" w:rsidRPr="00504025" w:rsidRDefault="00E8012E" w:rsidP="0077335D">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Vicerrectoría Administrativa y Financiera</w:t>
            </w:r>
            <w:r w:rsidRPr="00D95F71">
              <w:rPr>
                <w:rFonts w:asciiTheme="minorHAnsi" w:hAnsiTheme="minorHAnsi" w:cs="Arial"/>
                <w:color w:val="FF0000"/>
                <w:sz w:val="20"/>
                <w:szCs w:val="20"/>
                <w:highlight w:val="yellow"/>
                <w:lang w:val="es-CO"/>
              </w:rPr>
              <w:t xml:space="preserve"> </w:t>
            </w:r>
          </w:p>
        </w:tc>
      </w:tr>
      <w:tr w:rsidR="00E8012E" w:rsidRPr="00504025" w:rsidTr="00B05843">
        <w:trPr>
          <w:trHeight w:val="397"/>
          <w:jc w:val="center"/>
        </w:trPr>
        <w:tc>
          <w:tcPr>
            <w:tcW w:w="8830" w:type="dxa"/>
            <w:gridSpan w:val="5"/>
            <w:vAlign w:val="center"/>
          </w:tcPr>
          <w:p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Pr="00FE5254">
              <w:rPr>
                <w:rFonts w:asciiTheme="minorHAnsi" w:hAnsiTheme="minorHAnsi" w:cs="Arial"/>
                <w:noProof/>
                <w:sz w:val="20"/>
                <w:szCs w:val="20"/>
                <w:lang w:val="es-CO"/>
              </w:rPr>
              <w:t>Vicerrectoría Administrativa y Financiera</w:t>
            </w:r>
            <w:r>
              <w:rPr>
                <w:rFonts w:asciiTheme="minorHAnsi" w:hAnsiTheme="minorHAnsi" w:cs="Arial"/>
                <w:sz w:val="20"/>
                <w:szCs w:val="20"/>
                <w:lang w:val="es-CO"/>
              </w:rPr>
              <w:t xml:space="preserve"> </w:t>
            </w:r>
          </w:p>
        </w:tc>
      </w:tr>
    </w:tbl>
    <w:p w:rsidR="00E8012E" w:rsidRPr="00504025" w:rsidRDefault="00E8012E" w:rsidP="001A5871">
      <w:pPr>
        <w:widowControl/>
        <w:adjustRightInd/>
        <w:spacing w:line="240" w:lineRule="auto"/>
        <w:jc w:val="left"/>
        <w:textAlignment w:val="auto"/>
        <w:rPr>
          <w:rFonts w:ascii="Arial" w:hAnsi="Arial" w:cs="Arial"/>
          <w:b/>
          <w:sz w:val="20"/>
          <w:szCs w:val="20"/>
        </w:rPr>
      </w:pPr>
    </w:p>
    <w:p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rsidTr="00D6274A">
        <w:trPr>
          <w:trHeight w:val="397"/>
        </w:trPr>
        <w:tc>
          <w:tcPr>
            <w:tcW w:w="8988" w:type="dxa"/>
            <w:vAlign w:val="center"/>
          </w:tcPr>
          <w:p w:rsidR="00E8012E" w:rsidRDefault="00E8012E" w:rsidP="00D241CD">
            <w:pPr>
              <w:spacing w:line="0" w:lineRule="atLeast"/>
              <w:rPr>
                <w:rFonts w:asciiTheme="minorHAnsi" w:hAnsiTheme="minorHAnsi" w:cs="Arial"/>
                <w:b/>
                <w:bCs/>
                <w:noProof/>
                <w:sz w:val="20"/>
                <w:szCs w:val="20"/>
              </w:rPr>
            </w:pPr>
          </w:p>
          <w:p w:rsidR="00E8012E" w:rsidRDefault="00A36155" w:rsidP="00D241CD">
            <w:pPr>
              <w:spacing w:line="0" w:lineRule="atLeast"/>
              <w:rPr>
                <w:rFonts w:asciiTheme="minorHAnsi" w:hAnsiTheme="minorHAnsi" w:cs="Arial"/>
                <w:sz w:val="20"/>
                <w:szCs w:val="20"/>
                <w:lang w:val="es-CO"/>
              </w:rPr>
            </w:pPr>
            <w:r>
              <w:rPr>
                <w:rFonts w:asciiTheme="minorHAnsi" w:hAnsiTheme="minorHAnsi" w:cs="Arial"/>
                <w:b/>
                <w:bCs/>
                <w:noProof/>
                <w:sz w:val="20"/>
                <w:szCs w:val="20"/>
              </w:rPr>
              <w:t xml:space="preserve">Ingresos: </w:t>
            </w:r>
            <w:r>
              <w:rPr>
                <w:rFonts w:asciiTheme="minorHAnsi" w:hAnsiTheme="minorHAnsi" w:cs="Arial"/>
                <w:sz w:val="20"/>
                <w:szCs w:val="20"/>
                <w:lang w:val="es-CO"/>
              </w:rPr>
              <w:t xml:space="preserve">Recursos que recauda anual y periódicamente la Universidad Tecnológica de Pereira </w:t>
            </w:r>
            <w:r w:rsidR="00864E01">
              <w:rPr>
                <w:rFonts w:asciiTheme="minorHAnsi" w:hAnsiTheme="minorHAnsi" w:cs="Arial"/>
                <w:sz w:val="20"/>
                <w:szCs w:val="20"/>
                <w:lang w:val="es-CO"/>
              </w:rPr>
              <w:t xml:space="preserve">proveniente de sus actividades de docencia, investigación y extensión y como resultado de las operaciones presupuestales, contables y </w:t>
            </w:r>
            <w:proofErr w:type="spellStart"/>
            <w:r w:rsidR="00864E01">
              <w:rPr>
                <w:rFonts w:asciiTheme="minorHAnsi" w:hAnsiTheme="minorHAnsi" w:cs="Arial"/>
                <w:sz w:val="20"/>
                <w:szCs w:val="20"/>
                <w:lang w:val="es-CO"/>
              </w:rPr>
              <w:t>tesorales</w:t>
            </w:r>
            <w:proofErr w:type="spellEnd"/>
            <w:r w:rsidR="00864E01">
              <w:rPr>
                <w:rFonts w:asciiTheme="minorHAnsi" w:hAnsiTheme="minorHAnsi" w:cs="Arial"/>
                <w:sz w:val="20"/>
                <w:szCs w:val="20"/>
                <w:lang w:val="es-CO"/>
              </w:rPr>
              <w:t>.</w:t>
            </w:r>
          </w:p>
          <w:p w:rsidR="00104090" w:rsidRDefault="00104090" w:rsidP="00D241CD">
            <w:pPr>
              <w:spacing w:line="0" w:lineRule="atLeast"/>
              <w:rPr>
                <w:rFonts w:asciiTheme="minorHAnsi" w:hAnsiTheme="minorHAnsi" w:cs="Arial"/>
                <w:sz w:val="20"/>
                <w:szCs w:val="20"/>
                <w:lang w:val="es-CO"/>
              </w:rPr>
            </w:pPr>
          </w:p>
          <w:p w:rsidR="00E8012E" w:rsidRDefault="00A36155" w:rsidP="00CC41AA">
            <w:pPr>
              <w:spacing w:line="0" w:lineRule="atLeast"/>
              <w:rPr>
                <w:rFonts w:asciiTheme="minorHAnsi" w:hAnsiTheme="minorHAnsi"/>
                <w:sz w:val="20"/>
                <w:szCs w:val="20"/>
                <w:lang w:val="es-CO"/>
              </w:rPr>
            </w:pPr>
            <w:r>
              <w:rPr>
                <w:rFonts w:asciiTheme="minorHAnsi" w:hAnsiTheme="minorHAnsi" w:cs="Arial"/>
                <w:b/>
                <w:bCs/>
                <w:noProof/>
                <w:sz w:val="20"/>
                <w:szCs w:val="20"/>
              </w:rPr>
              <w:t>Gastos</w:t>
            </w:r>
            <w:r w:rsidR="00E8012E" w:rsidRPr="00CD44D0">
              <w:rPr>
                <w:rFonts w:asciiTheme="minorHAnsi" w:hAnsiTheme="minorHAnsi" w:cs="Arial"/>
                <w:sz w:val="20"/>
                <w:szCs w:val="20"/>
                <w:lang w:val="es-CO"/>
              </w:rPr>
              <w:t xml:space="preserve">: </w:t>
            </w:r>
            <w:r w:rsidR="00E8012E" w:rsidRPr="00CD44D0">
              <w:rPr>
                <w:rFonts w:asciiTheme="minorHAnsi" w:hAnsiTheme="minorHAnsi"/>
                <w:sz w:val="20"/>
                <w:szCs w:val="20"/>
                <w:lang w:val="es-CO"/>
              </w:rPr>
              <w:t> </w:t>
            </w:r>
            <w:r w:rsidR="00C94119">
              <w:rPr>
                <w:rFonts w:asciiTheme="minorHAnsi" w:hAnsiTheme="minorHAnsi"/>
                <w:sz w:val="20"/>
                <w:szCs w:val="20"/>
                <w:lang w:val="es-CO"/>
              </w:rPr>
              <w:t>Compromisos</w:t>
            </w:r>
            <w:r w:rsidR="00307A55">
              <w:rPr>
                <w:rFonts w:asciiTheme="minorHAnsi" w:hAnsiTheme="minorHAnsi"/>
                <w:sz w:val="20"/>
                <w:szCs w:val="20"/>
                <w:lang w:val="es-CO"/>
              </w:rPr>
              <w:t xml:space="preserve"> que se originan en el normal desarrollo de las actividades de la Universidad Tecnológica de Pereira para cubrir los gastos de funcionamiento, servicio a la deuda e inversión.</w:t>
            </w:r>
          </w:p>
          <w:p w:rsidR="00E8012E" w:rsidRPr="00504025" w:rsidRDefault="00E8012E" w:rsidP="00CC41AA">
            <w:pPr>
              <w:spacing w:line="0" w:lineRule="atLeast"/>
              <w:rPr>
                <w:rFonts w:asciiTheme="minorHAnsi" w:hAnsiTheme="minorHAnsi" w:cs="Arial"/>
                <w:sz w:val="20"/>
                <w:szCs w:val="20"/>
              </w:rPr>
            </w:pPr>
          </w:p>
        </w:tc>
      </w:tr>
    </w:tbl>
    <w:p w:rsidR="00E8012E" w:rsidRPr="00504025" w:rsidRDefault="00E8012E" w:rsidP="001A5871">
      <w:pPr>
        <w:spacing w:line="0" w:lineRule="atLeast"/>
        <w:rPr>
          <w:rFonts w:asciiTheme="minorHAnsi" w:hAnsiTheme="minorHAnsi" w:cs="Arial"/>
          <w:b/>
          <w:sz w:val="20"/>
          <w:szCs w:val="20"/>
        </w:rPr>
      </w:pPr>
    </w:p>
    <w:p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159"/>
      </w:tblGrid>
      <w:tr w:rsidR="00E8012E" w:rsidRPr="00504025" w:rsidTr="009F5809">
        <w:trPr>
          <w:trHeight w:val="397"/>
        </w:trPr>
        <w:tc>
          <w:tcPr>
            <w:tcW w:w="8988" w:type="dxa"/>
            <w:vAlign w:val="center"/>
          </w:tcPr>
          <w:p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rsidTr="000473A1">
              <w:trPr>
                <w:jc w:val="center"/>
              </w:trPr>
              <w:tc>
                <w:tcPr>
                  <w:tcW w:w="1194"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rsidR="00E8012E" w:rsidRPr="00504025" w:rsidRDefault="00E8012E" w:rsidP="004C2605">
                  <w:pPr>
                    <w:spacing w:line="0" w:lineRule="atLeast"/>
                    <w:jc w:val="center"/>
                    <w:rPr>
                      <w:rFonts w:asciiTheme="minorHAnsi" w:hAnsiTheme="minorHAnsi" w:cs="Arial"/>
                      <w:noProof/>
                      <w:sz w:val="20"/>
                      <w:szCs w:val="20"/>
                    </w:rPr>
                  </w:pPr>
                </w:p>
              </w:tc>
              <w:tc>
                <w:tcPr>
                  <w:tcW w:w="807"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rsidR="00E8012E" w:rsidRPr="00504025" w:rsidRDefault="00E8012E" w:rsidP="00D241CD">
            <w:pPr>
              <w:spacing w:line="0" w:lineRule="atLeast"/>
              <w:rPr>
                <w:rFonts w:asciiTheme="minorHAnsi" w:hAnsiTheme="minorHAnsi" w:cs="Arial"/>
                <w:noProof/>
                <w:sz w:val="20"/>
                <w:szCs w:val="20"/>
              </w:rPr>
            </w:pPr>
          </w:p>
        </w:tc>
      </w:tr>
      <w:tr w:rsidR="00E8012E" w:rsidRPr="00504025" w:rsidTr="009F5809">
        <w:trPr>
          <w:trHeight w:val="397"/>
        </w:trPr>
        <w:tc>
          <w:tcPr>
            <w:tcW w:w="8988" w:type="dxa"/>
            <w:vAlign w:val="center"/>
          </w:tcPr>
          <w:p w:rsidR="00E8012E" w:rsidRPr="00104090" w:rsidRDefault="00E8012E" w:rsidP="00422719">
            <w:pPr>
              <w:spacing w:line="0" w:lineRule="atLeast"/>
              <w:rPr>
                <w:rFonts w:asciiTheme="minorHAnsi" w:hAnsiTheme="minorHAnsi" w:cs="Arial"/>
                <w:b/>
                <w:sz w:val="20"/>
                <w:szCs w:val="20"/>
              </w:rPr>
            </w:pPr>
            <w:r w:rsidRPr="00504025">
              <w:rPr>
                <w:rFonts w:asciiTheme="minorHAnsi" w:hAnsiTheme="minorHAnsi" w:cs="Arial"/>
                <w:b/>
                <w:sz w:val="20"/>
                <w:szCs w:val="20"/>
              </w:rPr>
              <w:t>Fórmula:</w:t>
            </w:r>
            <w:r w:rsidR="00D97E83">
              <w:rPr>
                <w:rFonts w:asciiTheme="minorHAnsi" w:hAnsiTheme="minorHAnsi" w:cs="Arial"/>
                <w:b/>
                <w:sz w:val="20"/>
                <w:szCs w:val="20"/>
              </w:rPr>
              <w:br/>
            </w:r>
            <m:oMathPara>
              <m:oMath>
                <m:r>
                  <m:rPr>
                    <m:sty m:val="bi"/>
                  </m:rPr>
                  <w:rPr>
                    <w:rFonts w:ascii="Cambria Math" w:hAnsi="Cambria Math" w:cs="Arial"/>
                    <w:sz w:val="20"/>
                    <w:szCs w:val="20"/>
                  </w:rPr>
                  <m:t xml:space="preserve">Equilibrio Financiero= </m:t>
                </m:r>
                <m:f>
                  <m:fPr>
                    <m:ctrlPr>
                      <w:rPr>
                        <w:rFonts w:ascii="Cambria Math" w:hAnsi="Cambria Math" w:cs="Arial"/>
                        <w:b/>
                        <w:i/>
                        <w:sz w:val="20"/>
                        <w:szCs w:val="20"/>
                      </w:rPr>
                    </m:ctrlPr>
                  </m:fPr>
                  <m:num>
                    <m:r>
                      <m:rPr>
                        <m:sty m:val="bi"/>
                      </m:rPr>
                      <w:rPr>
                        <w:rFonts w:ascii="Cambria Math" w:hAnsi="Cambria Math" w:cs="Arial"/>
                        <w:sz w:val="20"/>
                        <w:szCs w:val="20"/>
                      </w:rPr>
                      <m:t>Ingresos Totales</m:t>
                    </m:r>
                  </m:num>
                  <m:den>
                    <m:r>
                      <m:rPr>
                        <m:sty m:val="bi"/>
                      </m:rPr>
                      <w:rPr>
                        <w:rFonts w:ascii="Cambria Math" w:hAnsi="Cambria Math" w:cs="Arial"/>
                        <w:sz w:val="20"/>
                        <w:szCs w:val="20"/>
                      </w:rPr>
                      <m:t>Gastos Totales</m:t>
                    </m:r>
                  </m:den>
                </m:f>
              </m:oMath>
            </m:oMathPara>
          </w:p>
          <w:p w:rsidR="00104090" w:rsidRPr="00422719" w:rsidRDefault="00104090" w:rsidP="00422719">
            <w:pPr>
              <w:spacing w:line="0" w:lineRule="atLeast"/>
              <w:rPr>
                <w:rFonts w:asciiTheme="minorHAnsi" w:hAnsiTheme="minorHAnsi" w:cs="Arial"/>
                <w:b/>
                <w:sz w:val="20"/>
                <w:szCs w:val="20"/>
              </w:rPr>
            </w:pPr>
          </w:p>
        </w:tc>
      </w:tr>
      <w:tr w:rsidR="00E8012E" w:rsidRPr="00504025" w:rsidTr="009F5809">
        <w:trPr>
          <w:trHeight w:val="397"/>
        </w:trPr>
        <w:tc>
          <w:tcPr>
            <w:tcW w:w="8988" w:type="dxa"/>
            <w:vAlign w:val="center"/>
          </w:tcPr>
          <w:p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rsidR="00E8012E" w:rsidRDefault="00E8012E" w:rsidP="004668DD">
            <w:pPr>
              <w:spacing w:line="0" w:lineRule="atLeast"/>
              <w:rPr>
                <w:rFonts w:asciiTheme="minorHAnsi" w:hAnsiTheme="minorHAnsi" w:cs="Arial"/>
                <w:sz w:val="20"/>
                <w:szCs w:val="20"/>
                <w:lang w:val="es-CO"/>
              </w:rPr>
            </w:pPr>
          </w:p>
          <w:p w:rsidR="00EA4EAB" w:rsidRPr="00EA4EAB" w:rsidRDefault="00EA4EAB" w:rsidP="004668DD">
            <w:pPr>
              <w:spacing w:line="0" w:lineRule="atLeast"/>
              <w:rPr>
                <w:rFonts w:asciiTheme="minorHAnsi" w:hAnsiTheme="minorHAnsi" w:cs="Arial"/>
                <w:b/>
                <w:sz w:val="20"/>
                <w:szCs w:val="20"/>
                <w:u w:val="single"/>
                <w:lang w:val="es-CO"/>
              </w:rPr>
            </w:pPr>
            <w:r w:rsidRPr="00EA4EAB">
              <w:rPr>
                <w:rFonts w:asciiTheme="minorHAnsi" w:hAnsiTheme="minorHAnsi" w:cs="Arial"/>
                <w:b/>
                <w:sz w:val="20"/>
                <w:szCs w:val="20"/>
                <w:u w:val="single"/>
                <w:lang w:val="es-CO"/>
              </w:rPr>
              <w:t>Durante la vigencia</w:t>
            </w:r>
          </w:p>
          <w:p w:rsidR="00EA4EAB" w:rsidRDefault="005270A3" w:rsidP="004668DD">
            <w:pPr>
              <w:spacing w:line="0" w:lineRule="atLeast"/>
              <w:rPr>
                <w:rFonts w:asciiTheme="minorHAnsi" w:hAnsiTheme="minorHAnsi" w:cs="Arial"/>
                <w:sz w:val="20"/>
                <w:szCs w:val="20"/>
                <w:lang w:val="es-CO"/>
              </w:rPr>
            </w:pPr>
            <w:r>
              <w:rPr>
                <w:rFonts w:asciiTheme="minorHAnsi" w:hAnsiTheme="minorHAnsi" w:cs="Arial"/>
                <w:sz w:val="20"/>
                <w:szCs w:val="20"/>
                <w:lang w:val="es-CO"/>
              </w:rPr>
              <w:t>El valor de ingresos totales corresponde al valor acumulado en ingresos presupuestales reportado en el informe de ejecución ingresos</w:t>
            </w:r>
            <w:r w:rsidR="001E769B">
              <w:rPr>
                <w:rFonts w:asciiTheme="minorHAnsi" w:hAnsiTheme="minorHAnsi" w:cs="Arial"/>
                <w:sz w:val="20"/>
                <w:szCs w:val="20"/>
                <w:lang w:val="es-CO"/>
              </w:rPr>
              <w:t>.</w:t>
            </w:r>
          </w:p>
          <w:p w:rsidR="00EA4EAB" w:rsidRDefault="00EA4EAB" w:rsidP="004668DD">
            <w:pPr>
              <w:spacing w:line="0" w:lineRule="atLeast"/>
              <w:rPr>
                <w:rFonts w:asciiTheme="minorHAnsi" w:hAnsiTheme="minorHAnsi" w:cs="Arial"/>
                <w:sz w:val="20"/>
                <w:szCs w:val="20"/>
                <w:lang w:val="es-CO"/>
              </w:rPr>
            </w:pPr>
          </w:p>
          <w:p w:rsidR="00E8012E" w:rsidRDefault="00C86B01" w:rsidP="00EA4EAB">
            <w:pPr>
              <w:spacing w:line="0" w:lineRule="atLeast"/>
              <w:rPr>
                <w:rFonts w:asciiTheme="minorHAnsi" w:hAnsiTheme="minorHAnsi" w:cs="Arial"/>
                <w:sz w:val="20"/>
                <w:szCs w:val="20"/>
                <w:lang w:val="es-CO"/>
              </w:rPr>
            </w:pPr>
            <w:r>
              <w:rPr>
                <w:rFonts w:asciiTheme="minorHAnsi" w:hAnsiTheme="minorHAnsi" w:cs="Arial"/>
                <w:sz w:val="20"/>
                <w:szCs w:val="20"/>
                <w:lang w:val="es-CO"/>
              </w:rPr>
              <w:lastRenderedPageBreak/>
              <w:t>El valor de gastos totales corresponde al total compromiso</w:t>
            </w:r>
            <w:r w:rsidR="001E769B">
              <w:rPr>
                <w:rFonts w:asciiTheme="minorHAnsi" w:hAnsiTheme="minorHAnsi" w:cs="Arial"/>
                <w:sz w:val="20"/>
                <w:szCs w:val="20"/>
                <w:lang w:val="es-CO"/>
              </w:rPr>
              <w:t>s menos los compromisos de los capítulos independientes, es decir, los gastos correspondientes a la Gestión General.</w:t>
            </w:r>
          </w:p>
          <w:p w:rsidR="00EA4EAB" w:rsidRDefault="00EA4EAB" w:rsidP="00EA4EAB">
            <w:pPr>
              <w:spacing w:line="0" w:lineRule="atLeast"/>
              <w:rPr>
                <w:rFonts w:asciiTheme="minorHAnsi" w:hAnsiTheme="minorHAnsi" w:cs="Arial"/>
                <w:sz w:val="20"/>
                <w:szCs w:val="20"/>
                <w:lang w:val="es-CO"/>
              </w:rPr>
            </w:pPr>
          </w:p>
          <w:p w:rsidR="00EA4EAB" w:rsidRPr="00EA4EAB" w:rsidRDefault="00EA4EAB" w:rsidP="00EA4EAB">
            <w:pPr>
              <w:spacing w:line="0" w:lineRule="atLeast"/>
              <w:rPr>
                <w:rFonts w:asciiTheme="minorHAnsi" w:hAnsiTheme="minorHAnsi" w:cs="Arial"/>
                <w:b/>
                <w:sz w:val="20"/>
                <w:szCs w:val="20"/>
                <w:u w:val="single"/>
                <w:lang w:val="es-CO"/>
              </w:rPr>
            </w:pPr>
            <w:r>
              <w:rPr>
                <w:rFonts w:asciiTheme="minorHAnsi" w:hAnsiTheme="minorHAnsi" w:cs="Arial"/>
                <w:b/>
                <w:sz w:val="20"/>
                <w:szCs w:val="20"/>
                <w:u w:val="single"/>
                <w:lang w:val="es-CO"/>
              </w:rPr>
              <w:t>Cierre de</w:t>
            </w:r>
            <w:r w:rsidRPr="00EA4EAB">
              <w:rPr>
                <w:rFonts w:asciiTheme="minorHAnsi" w:hAnsiTheme="minorHAnsi" w:cs="Arial"/>
                <w:b/>
                <w:sz w:val="20"/>
                <w:szCs w:val="20"/>
                <w:u w:val="single"/>
                <w:lang w:val="es-CO"/>
              </w:rPr>
              <w:t xml:space="preserve"> vigencia</w:t>
            </w:r>
          </w:p>
          <w:p w:rsidR="00EA4EAB" w:rsidRDefault="00EA4EAB" w:rsidP="00EA4EAB">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El valor de ingresos totales corresponde al valor recaudo neto reportado en el </w:t>
            </w:r>
            <w:r w:rsidRPr="00EA4EAB">
              <w:rPr>
                <w:rFonts w:asciiTheme="minorHAnsi" w:hAnsiTheme="minorHAnsi" w:cs="Arial"/>
                <w:sz w:val="20"/>
                <w:szCs w:val="20"/>
                <w:lang w:val="es-CO"/>
              </w:rPr>
              <w:t>Informe ejecución de ingresos para indicadores cierre de vigencia</w:t>
            </w:r>
            <w:r>
              <w:rPr>
                <w:rFonts w:asciiTheme="minorHAnsi" w:hAnsiTheme="minorHAnsi" w:cs="Arial"/>
                <w:sz w:val="20"/>
                <w:szCs w:val="20"/>
                <w:lang w:val="es-CO"/>
              </w:rPr>
              <w:t>.</w:t>
            </w:r>
          </w:p>
          <w:p w:rsidR="00EA4EAB" w:rsidRDefault="00EA4EAB" w:rsidP="00EA4EAB">
            <w:pPr>
              <w:spacing w:line="0" w:lineRule="atLeast"/>
              <w:rPr>
                <w:rFonts w:asciiTheme="minorHAnsi" w:hAnsiTheme="minorHAnsi" w:cs="Arial"/>
                <w:sz w:val="20"/>
                <w:szCs w:val="20"/>
                <w:lang w:val="es-CO"/>
              </w:rPr>
            </w:pPr>
          </w:p>
          <w:p w:rsidR="00EA4EAB" w:rsidRDefault="00EA4EAB" w:rsidP="0086602D">
            <w:pPr>
              <w:spacing w:line="0" w:lineRule="atLeast"/>
              <w:rPr>
                <w:rFonts w:asciiTheme="minorHAnsi" w:hAnsiTheme="minorHAnsi" w:cs="Arial"/>
                <w:sz w:val="20"/>
                <w:szCs w:val="20"/>
                <w:lang w:val="es-CO"/>
              </w:rPr>
            </w:pPr>
            <w:r>
              <w:rPr>
                <w:rFonts w:asciiTheme="minorHAnsi" w:hAnsiTheme="minorHAnsi" w:cs="Arial"/>
                <w:sz w:val="20"/>
                <w:szCs w:val="20"/>
                <w:lang w:val="es-CO"/>
              </w:rPr>
              <w:t>El valor de gastos totales corresponde al total compromisos reportado en el informe presupuestal de ga</w:t>
            </w:r>
            <w:r w:rsidR="009A0B41">
              <w:rPr>
                <w:rFonts w:asciiTheme="minorHAnsi" w:hAnsiTheme="minorHAnsi" w:cs="Arial"/>
                <w:sz w:val="20"/>
                <w:szCs w:val="20"/>
                <w:lang w:val="es-CO"/>
              </w:rPr>
              <w:t>s</w:t>
            </w:r>
            <w:r>
              <w:rPr>
                <w:rFonts w:asciiTheme="minorHAnsi" w:hAnsiTheme="minorHAnsi" w:cs="Arial"/>
                <w:sz w:val="20"/>
                <w:szCs w:val="20"/>
                <w:lang w:val="es-CO"/>
              </w:rPr>
              <w:t>tos para indicadores cierre de vigencia.</w:t>
            </w:r>
          </w:p>
          <w:p w:rsidR="00F935CB" w:rsidRPr="008511DC" w:rsidRDefault="00F935CB" w:rsidP="0086602D">
            <w:pPr>
              <w:spacing w:line="0" w:lineRule="atLeast"/>
              <w:rPr>
                <w:rFonts w:asciiTheme="minorHAnsi" w:hAnsiTheme="minorHAnsi" w:cs="Arial"/>
                <w:b/>
                <w:sz w:val="20"/>
                <w:szCs w:val="20"/>
                <w:lang w:val="es-CO"/>
              </w:rPr>
            </w:pPr>
          </w:p>
          <w:p w:rsidR="00F935CB" w:rsidRPr="00D47949" w:rsidRDefault="00F935CB" w:rsidP="008511DC">
            <w:pPr>
              <w:widowControl/>
              <w:adjustRightInd/>
              <w:spacing w:line="240" w:lineRule="auto"/>
              <w:jc w:val="left"/>
              <w:textAlignment w:val="auto"/>
              <w:rPr>
                <w:rFonts w:asciiTheme="minorHAnsi" w:hAnsiTheme="minorHAnsi" w:cs="Arial"/>
                <w:sz w:val="20"/>
                <w:szCs w:val="20"/>
                <w:lang w:val="es-CO"/>
              </w:rPr>
            </w:pPr>
            <w:r w:rsidRPr="008511DC">
              <w:rPr>
                <w:rFonts w:asciiTheme="minorHAnsi" w:hAnsiTheme="minorHAnsi" w:cs="Arial"/>
                <w:b/>
                <w:sz w:val="20"/>
                <w:szCs w:val="20"/>
                <w:lang w:val="es-CO"/>
              </w:rPr>
              <w:t>Nota:</w:t>
            </w:r>
            <w:r>
              <w:rPr>
                <w:rFonts w:asciiTheme="minorHAnsi" w:hAnsiTheme="minorHAnsi" w:cs="Arial"/>
                <w:sz w:val="20"/>
                <w:szCs w:val="20"/>
                <w:lang w:val="es-CO"/>
              </w:rPr>
              <w:t xml:space="preserve"> </w:t>
            </w:r>
            <w:r w:rsidR="008511DC" w:rsidRPr="008511DC">
              <w:rPr>
                <w:rFonts w:ascii="Calibri" w:hAnsi="Calibri" w:cs="Calibri"/>
                <w:sz w:val="20"/>
                <w:szCs w:val="20"/>
                <w:lang w:val="es-CO" w:eastAsia="es-CO"/>
              </w:rPr>
              <w:t>Si bien se incluye el monitoreo trimestral del equilibrio financiero, es importante precisar que para este indicador la meta se ha establecido al cierre de la vigencia, razón por la cual su resultado definitivo se medirá al cierre del año. Es por ello que se darán avances cualitativos de manera trimestral, dado que los resultados parciales del indicador no son comparables.</w:t>
            </w:r>
            <w:r w:rsidR="008511DC" w:rsidRPr="008511DC">
              <w:rPr>
                <w:lang w:val="es-CO" w:eastAsia="es-CO"/>
              </w:rPr>
              <w:t>   </w:t>
            </w:r>
          </w:p>
        </w:tc>
      </w:tr>
      <w:tr w:rsidR="00E8012E" w:rsidRPr="00504025" w:rsidTr="009F5809">
        <w:trPr>
          <w:trHeight w:val="397"/>
        </w:trPr>
        <w:tc>
          <w:tcPr>
            <w:tcW w:w="8988" w:type="dxa"/>
            <w:vAlign w:val="center"/>
          </w:tcPr>
          <w:p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lastRenderedPageBreak/>
              <w:t>Información soporte (soporte que se carga en el seguimiento):</w:t>
            </w:r>
          </w:p>
          <w:p w:rsidR="003A4235" w:rsidRDefault="003A4235" w:rsidP="00CA0BDF">
            <w:pPr>
              <w:spacing w:line="0" w:lineRule="atLeast"/>
              <w:rPr>
                <w:rFonts w:asciiTheme="minorHAnsi" w:hAnsiTheme="minorHAnsi" w:cs="Arial"/>
                <w:sz w:val="20"/>
                <w:szCs w:val="20"/>
                <w:lang w:val="es-CO"/>
              </w:rPr>
            </w:pPr>
          </w:p>
          <w:p w:rsidR="00CA0BDF" w:rsidRDefault="00CA0BDF" w:rsidP="00CA0BDF">
            <w:pPr>
              <w:spacing w:line="0" w:lineRule="atLeast"/>
              <w:rPr>
                <w:rFonts w:asciiTheme="minorHAnsi" w:hAnsiTheme="minorHAnsi" w:cs="Arial"/>
                <w:sz w:val="16"/>
                <w:szCs w:val="16"/>
                <w:lang w:val="es-CO"/>
              </w:rPr>
            </w:pPr>
            <w:r w:rsidRPr="00EA4EAB">
              <w:rPr>
                <w:rFonts w:asciiTheme="minorHAnsi" w:hAnsiTheme="minorHAnsi" w:cs="Arial"/>
                <w:sz w:val="20"/>
                <w:szCs w:val="20"/>
                <w:lang w:val="es-CO"/>
              </w:rPr>
              <w:t xml:space="preserve">Informe ejecución de ingresos para indicadores </w:t>
            </w:r>
            <w:r w:rsidRPr="007F36EE">
              <w:rPr>
                <w:rFonts w:asciiTheme="minorHAnsi" w:hAnsiTheme="minorHAnsi" w:cs="Arial"/>
                <w:b/>
                <w:sz w:val="20"/>
                <w:szCs w:val="20"/>
                <w:lang w:val="es-CO"/>
              </w:rPr>
              <w:t>cierre de vigencia</w:t>
            </w:r>
            <w:r w:rsidR="008A6DE4">
              <w:rPr>
                <w:rFonts w:asciiTheme="minorHAnsi" w:hAnsiTheme="minorHAnsi" w:cs="Arial"/>
                <w:sz w:val="20"/>
                <w:szCs w:val="20"/>
                <w:lang w:val="es-CO"/>
              </w:rPr>
              <w:t xml:space="preserve">: Informe que se puede consultar en el siguiente link </w:t>
            </w:r>
            <w:hyperlink r:id="rId7" w:history="1">
              <w:r w:rsidR="00D327D9" w:rsidRPr="001C2B54">
                <w:rPr>
                  <w:rStyle w:val="Hipervnculo"/>
                  <w:rFonts w:asciiTheme="minorHAnsi" w:hAnsiTheme="minorHAnsi"/>
                  <w:sz w:val="16"/>
                  <w:szCs w:val="16"/>
                  <w:lang w:val="es-CO"/>
                </w:rPr>
                <w:t>https://www.utp.edu.co/vicerrectoria/administrativa/ejecucion-presupuestal.html</w:t>
              </w:r>
            </w:hyperlink>
            <w:r w:rsidR="00D327D9">
              <w:rPr>
                <w:rFonts w:asciiTheme="minorHAnsi" w:hAnsiTheme="minorHAnsi" w:cs="Arial"/>
                <w:sz w:val="16"/>
                <w:szCs w:val="16"/>
                <w:lang w:val="es-CO"/>
              </w:rPr>
              <w:t>.</w:t>
            </w:r>
          </w:p>
          <w:p w:rsidR="0034196E" w:rsidRDefault="0034196E" w:rsidP="00CA0BDF">
            <w:pPr>
              <w:spacing w:line="0" w:lineRule="atLeast"/>
              <w:rPr>
                <w:rFonts w:asciiTheme="minorHAnsi" w:hAnsiTheme="minorHAnsi" w:cs="Arial"/>
                <w:sz w:val="16"/>
                <w:szCs w:val="16"/>
                <w:lang w:val="es-CO"/>
              </w:rPr>
            </w:pPr>
          </w:p>
          <w:p w:rsidR="0034196E" w:rsidRDefault="00C50B50" w:rsidP="0034196E">
            <w:pPr>
              <w:spacing w:line="0" w:lineRule="atLeast"/>
              <w:jc w:val="center"/>
              <w:rPr>
                <w:rFonts w:asciiTheme="minorHAnsi" w:hAnsiTheme="minorHAnsi" w:cs="Arial"/>
                <w:sz w:val="16"/>
                <w:szCs w:val="16"/>
                <w:lang w:val="es-CO"/>
              </w:rPr>
            </w:pPr>
            <w:r>
              <w:rPr>
                <w:rFonts w:asciiTheme="minorHAnsi" w:hAnsiTheme="minorHAnsi" w:cs="Arial"/>
                <w:noProof/>
                <w:sz w:val="16"/>
                <w:szCs w:val="16"/>
                <w:lang w:val="es-CO" w:eastAsia="es-CO"/>
              </w:rPr>
              <w:drawing>
                <wp:inline distT="0" distB="0" distL="0" distR="0" wp14:anchorId="4FF320C9">
                  <wp:extent cx="5522625" cy="39528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580" cy="3990778"/>
                          </a:xfrm>
                          <a:prstGeom prst="rect">
                            <a:avLst/>
                          </a:prstGeom>
                          <a:noFill/>
                        </pic:spPr>
                      </pic:pic>
                    </a:graphicData>
                  </a:graphic>
                </wp:inline>
              </w:drawing>
            </w:r>
          </w:p>
          <w:p w:rsidR="0034196E" w:rsidRDefault="0034196E" w:rsidP="00CA0BDF">
            <w:pPr>
              <w:spacing w:line="0" w:lineRule="atLeast"/>
              <w:rPr>
                <w:rFonts w:asciiTheme="minorHAnsi" w:hAnsiTheme="minorHAnsi" w:cs="Arial"/>
                <w:sz w:val="16"/>
                <w:szCs w:val="16"/>
                <w:lang w:val="es-CO"/>
              </w:rPr>
            </w:pPr>
          </w:p>
          <w:p w:rsidR="0034196E" w:rsidRDefault="0034196E" w:rsidP="00CA0BDF">
            <w:pPr>
              <w:spacing w:line="0" w:lineRule="atLeast"/>
              <w:rPr>
                <w:rFonts w:asciiTheme="minorHAnsi" w:hAnsiTheme="minorHAnsi" w:cs="Arial"/>
                <w:sz w:val="16"/>
                <w:szCs w:val="16"/>
                <w:lang w:val="es-CO"/>
              </w:rPr>
            </w:pPr>
          </w:p>
          <w:p w:rsidR="00C50B50" w:rsidRDefault="00C50B50" w:rsidP="00CD2534">
            <w:pPr>
              <w:spacing w:line="0" w:lineRule="atLeast"/>
              <w:rPr>
                <w:rFonts w:asciiTheme="minorHAnsi" w:hAnsiTheme="minorHAnsi" w:cs="Arial"/>
                <w:sz w:val="20"/>
                <w:szCs w:val="20"/>
                <w:lang w:val="es-CO"/>
              </w:rPr>
            </w:pPr>
          </w:p>
          <w:p w:rsidR="00E8012E" w:rsidRDefault="003A4235" w:rsidP="00CD2534">
            <w:pPr>
              <w:spacing w:line="0" w:lineRule="atLeast"/>
              <w:rPr>
                <w:rFonts w:asciiTheme="minorHAnsi" w:hAnsiTheme="minorHAnsi" w:cs="Arial"/>
                <w:sz w:val="16"/>
                <w:szCs w:val="16"/>
                <w:lang w:val="es-CO"/>
              </w:rPr>
            </w:pPr>
            <w:r>
              <w:rPr>
                <w:rFonts w:asciiTheme="minorHAnsi" w:hAnsiTheme="minorHAnsi" w:cs="Arial"/>
                <w:sz w:val="20"/>
                <w:szCs w:val="20"/>
                <w:lang w:val="es-CO"/>
              </w:rPr>
              <w:t>I</w:t>
            </w:r>
            <w:r w:rsidR="00CA0BDF">
              <w:rPr>
                <w:rFonts w:asciiTheme="minorHAnsi" w:hAnsiTheme="minorHAnsi" w:cs="Arial"/>
                <w:sz w:val="20"/>
                <w:szCs w:val="20"/>
                <w:lang w:val="es-CO"/>
              </w:rPr>
              <w:t xml:space="preserve">nforme presupuestal de gastos para indicadores </w:t>
            </w:r>
            <w:r w:rsidR="00CA0BDF" w:rsidRPr="007F36EE">
              <w:rPr>
                <w:rFonts w:asciiTheme="minorHAnsi" w:hAnsiTheme="minorHAnsi" w:cs="Arial"/>
                <w:b/>
                <w:sz w:val="20"/>
                <w:szCs w:val="20"/>
                <w:lang w:val="es-CO"/>
              </w:rPr>
              <w:t>cierre de vigencia</w:t>
            </w:r>
            <w:r w:rsidR="00CD2534">
              <w:rPr>
                <w:rFonts w:asciiTheme="minorHAnsi" w:hAnsiTheme="minorHAnsi" w:cs="Arial"/>
                <w:sz w:val="20"/>
                <w:szCs w:val="20"/>
                <w:lang w:val="es-CO"/>
              </w:rPr>
              <w:t xml:space="preserve">: siguiente link </w:t>
            </w:r>
            <w:hyperlink r:id="rId9" w:history="1">
              <w:r w:rsidR="00D327D9" w:rsidRPr="001C2B54">
                <w:rPr>
                  <w:rStyle w:val="Hipervnculo"/>
                  <w:rFonts w:asciiTheme="minorHAnsi" w:hAnsiTheme="minorHAnsi"/>
                  <w:sz w:val="16"/>
                  <w:szCs w:val="16"/>
                  <w:lang w:val="es-CO"/>
                </w:rPr>
                <w:t>https://www.utp.edu.co/vicerrectoria/administrativa/ejecucion-presupuestal.html</w:t>
              </w:r>
            </w:hyperlink>
            <w:r w:rsidR="00D327D9">
              <w:rPr>
                <w:rFonts w:asciiTheme="minorHAnsi" w:hAnsiTheme="minorHAnsi" w:cs="Arial"/>
                <w:sz w:val="16"/>
                <w:szCs w:val="16"/>
                <w:lang w:val="es-CO"/>
              </w:rPr>
              <w:t>.</w:t>
            </w:r>
          </w:p>
          <w:p w:rsidR="0034196E" w:rsidRDefault="0034196E" w:rsidP="00CD2534">
            <w:pPr>
              <w:spacing w:line="0" w:lineRule="atLeast"/>
              <w:rPr>
                <w:rFonts w:asciiTheme="minorHAnsi" w:hAnsiTheme="minorHAnsi" w:cs="Arial"/>
                <w:sz w:val="16"/>
                <w:szCs w:val="16"/>
                <w:lang w:val="es-CO"/>
              </w:rPr>
            </w:pPr>
          </w:p>
          <w:p w:rsidR="0034196E" w:rsidRDefault="0034196E" w:rsidP="007F36EE">
            <w:pPr>
              <w:spacing w:line="0" w:lineRule="atLeast"/>
              <w:jc w:val="center"/>
              <w:rPr>
                <w:rFonts w:asciiTheme="minorHAnsi" w:hAnsiTheme="minorHAnsi" w:cs="Arial"/>
                <w:sz w:val="16"/>
                <w:szCs w:val="16"/>
                <w:lang w:val="es-CO"/>
              </w:rPr>
            </w:pPr>
          </w:p>
          <w:p w:rsidR="007F36EE" w:rsidRDefault="00C50B50" w:rsidP="00C50B50">
            <w:pPr>
              <w:spacing w:line="0" w:lineRule="atLeast"/>
              <w:jc w:val="center"/>
              <w:rPr>
                <w:rFonts w:asciiTheme="minorHAnsi" w:hAnsiTheme="minorHAnsi" w:cs="Arial"/>
                <w:sz w:val="16"/>
                <w:szCs w:val="16"/>
                <w:lang w:val="es-CO"/>
              </w:rPr>
            </w:pPr>
            <w:r w:rsidRPr="00C50B50">
              <w:rPr>
                <w:rFonts w:asciiTheme="minorHAnsi" w:hAnsiTheme="minorHAnsi" w:cs="Arial"/>
                <w:noProof/>
                <w:sz w:val="16"/>
                <w:szCs w:val="16"/>
                <w:lang w:val="es-CO" w:eastAsia="es-CO"/>
              </w:rPr>
              <w:drawing>
                <wp:inline distT="0" distB="0" distL="0" distR="0" wp14:anchorId="740AB312" wp14:editId="5497172E">
                  <wp:extent cx="5679317" cy="561022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stretch>
                            <a:fillRect/>
                          </a:stretch>
                        </pic:blipFill>
                        <pic:spPr>
                          <a:xfrm>
                            <a:off x="0" y="0"/>
                            <a:ext cx="5699971" cy="5630628"/>
                          </a:xfrm>
                          <a:prstGeom prst="rect">
                            <a:avLst/>
                          </a:prstGeom>
                        </pic:spPr>
                      </pic:pic>
                    </a:graphicData>
                  </a:graphic>
                </wp:inline>
              </w:drawing>
            </w:r>
          </w:p>
          <w:p w:rsidR="007F36EE" w:rsidRDefault="007F36EE" w:rsidP="00CD2534">
            <w:pPr>
              <w:spacing w:line="0" w:lineRule="atLeast"/>
              <w:rPr>
                <w:rFonts w:asciiTheme="minorHAnsi" w:hAnsiTheme="minorHAnsi" w:cs="Arial"/>
                <w:sz w:val="16"/>
                <w:szCs w:val="16"/>
                <w:lang w:val="es-CO"/>
              </w:rPr>
            </w:pPr>
          </w:p>
          <w:p w:rsidR="007F36EE" w:rsidRDefault="007F36EE" w:rsidP="00CD2534">
            <w:pPr>
              <w:spacing w:line="0" w:lineRule="atLeast"/>
              <w:rPr>
                <w:rFonts w:asciiTheme="minorHAnsi" w:hAnsiTheme="minorHAnsi" w:cs="Arial"/>
                <w:sz w:val="16"/>
                <w:szCs w:val="16"/>
                <w:lang w:val="es-CO"/>
              </w:rPr>
            </w:pPr>
          </w:p>
          <w:p w:rsidR="00C50B50" w:rsidRDefault="00C50B50" w:rsidP="00CD2534">
            <w:pPr>
              <w:spacing w:line="0" w:lineRule="atLeast"/>
              <w:rPr>
                <w:rFonts w:asciiTheme="minorHAnsi" w:hAnsiTheme="minorHAnsi" w:cs="Arial"/>
                <w:sz w:val="16"/>
                <w:szCs w:val="16"/>
                <w:lang w:val="es-CO"/>
              </w:rPr>
            </w:pPr>
          </w:p>
          <w:p w:rsidR="00C50B50" w:rsidRDefault="00C50B50" w:rsidP="00CD2534">
            <w:pPr>
              <w:spacing w:line="0" w:lineRule="atLeast"/>
              <w:rPr>
                <w:rFonts w:asciiTheme="minorHAnsi" w:hAnsiTheme="minorHAnsi" w:cs="Arial"/>
                <w:sz w:val="16"/>
                <w:szCs w:val="16"/>
                <w:lang w:val="es-CO"/>
              </w:rPr>
            </w:pPr>
          </w:p>
          <w:p w:rsidR="00C50B50" w:rsidRDefault="00C50B50" w:rsidP="00CD2534">
            <w:pPr>
              <w:spacing w:line="0" w:lineRule="atLeast"/>
              <w:rPr>
                <w:rFonts w:asciiTheme="minorHAnsi" w:hAnsiTheme="minorHAnsi" w:cs="Arial"/>
                <w:sz w:val="16"/>
                <w:szCs w:val="16"/>
                <w:lang w:val="es-CO"/>
              </w:rPr>
            </w:pPr>
          </w:p>
          <w:p w:rsidR="007F36EE" w:rsidRPr="00ED1C6F" w:rsidRDefault="007F36EE" w:rsidP="00CD2534">
            <w:pPr>
              <w:spacing w:line="0" w:lineRule="atLeast"/>
              <w:rPr>
                <w:rFonts w:asciiTheme="minorHAnsi" w:hAnsiTheme="minorHAnsi" w:cs="Arial"/>
                <w:sz w:val="16"/>
                <w:szCs w:val="16"/>
                <w:lang w:val="es-CO"/>
              </w:rPr>
            </w:pPr>
          </w:p>
        </w:tc>
      </w:tr>
      <w:tr w:rsidR="00E8012E" w:rsidRPr="00504025" w:rsidTr="009F5809">
        <w:trPr>
          <w:trHeight w:val="397"/>
        </w:trPr>
        <w:tc>
          <w:tcPr>
            <w:tcW w:w="8988" w:type="dxa"/>
            <w:vAlign w:val="center"/>
          </w:tcPr>
          <w:p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rsidR="00E8012E" w:rsidRDefault="00E8012E" w:rsidP="00583EF1">
            <w:pPr>
              <w:spacing w:line="0" w:lineRule="atLeast"/>
              <w:rPr>
                <w:rFonts w:asciiTheme="minorHAnsi" w:hAnsiTheme="minorHAnsi" w:cs="Arial"/>
                <w:b/>
                <w:noProof/>
                <w:sz w:val="20"/>
                <w:szCs w:val="20"/>
              </w:rPr>
            </w:pPr>
          </w:p>
          <w:p w:rsidR="00583EF1" w:rsidRDefault="00BF7B61" w:rsidP="00583EF1">
            <w:pPr>
              <w:spacing w:line="0" w:lineRule="atLeast"/>
              <w:jc w:val="center"/>
              <w:rPr>
                <w:rFonts w:asciiTheme="minorHAnsi" w:hAnsiTheme="minorHAnsi" w:cs="Arial"/>
                <w:b/>
                <w:noProof/>
                <w:sz w:val="20"/>
                <w:szCs w:val="20"/>
              </w:rPr>
            </w:pPr>
            <w:r w:rsidRPr="00BF7B61">
              <w:rPr>
                <w:rFonts w:asciiTheme="minorHAnsi" w:hAnsiTheme="minorHAnsi" w:cs="Arial"/>
                <w:b/>
                <w:noProof/>
                <w:sz w:val="20"/>
                <w:szCs w:val="20"/>
                <w:lang w:val="es-CO" w:eastAsia="es-CO"/>
              </w:rPr>
              <w:drawing>
                <wp:inline distT="0" distB="0" distL="0" distR="0" wp14:anchorId="75F45F00" wp14:editId="43034854">
                  <wp:extent cx="4286250" cy="228940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stretch>
                            <a:fillRect/>
                          </a:stretch>
                        </pic:blipFill>
                        <pic:spPr>
                          <a:xfrm>
                            <a:off x="0" y="0"/>
                            <a:ext cx="4297187" cy="2295247"/>
                          </a:xfrm>
                          <a:prstGeom prst="rect">
                            <a:avLst/>
                          </a:prstGeom>
                        </pic:spPr>
                      </pic:pic>
                    </a:graphicData>
                  </a:graphic>
                </wp:inline>
              </w:drawing>
            </w:r>
          </w:p>
          <w:p w:rsidR="00583EF1" w:rsidRPr="00504025" w:rsidRDefault="00583EF1" w:rsidP="00D6274A">
            <w:pPr>
              <w:spacing w:line="0" w:lineRule="atLeast"/>
              <w:rPr>
                <w:rFonts w:asciiTheme="minorHAnsi" w:hAnsiTheme="minorHAnsi" w:cs="Arial"/>
                <w:b/>
                <w:noProof/>
                <w:sz w:val="20"/>
                <w:szCs w:val="20"/>
              </w:rPr>
            </w:pPr>
          </w:p>
        </w:tc>
      </w:tr>
    </w:tbl>
    <w:p w:rsidR="00E8012E" w:rsidRDefault="00E8012E" w:rsidP="00333FE8">
      <w:pPr>
        <w:pStyle w:val="Prrafodelista"/>
        <w:spacing w:line="0" w:lineRule="atLeast"/>
        <w:rPr>
          <w:rFonts w:asciiTheme="minorHAnsi" w:hAnsiTheme="minorHAnsi" w:cs="Arial"/>
          <w:b/>
          <w:sz w:val="20"/>
          <w:szCs w:val="20"/>
        </w:rPr>
      </w:pPr>
    </w:p>
    <w:p w:rsidR="00E8012E" w:rsidRDefault="00E8012E" w:rsidP="00EB32C8">
      <w:pPr>
        <w:spacing w:line="0" w:lineRule="atLeast"/>
        <w:rPr>
          <w:rFonts w:asciiTheme="minorHAnsi" w:hAnsiTheme="minorHAnsi" w:cs="Arial"/>
          <w:b/>
          <w:sz w:val="20"/>
          <w:szCs w:val="20"/>
        </w:rPr>
      </w:pPr>
    </w:p>
    <w:p w:rsidR="000E3648" w:rsidRDefault="000E3648" w:rsidP="00EB32C8">
      <w:pPr>
        <w:spacing w:line="0" w:lineRule="atLeast"/>
        <w:rPr>
          <w:rFonts w:asciiTheme="minorHAnsi" w:hAnsiTheme="minorHAnsi" w:cs="Arial"/>
          <w:b/>
          <w:sz w:val="20"/>
          <w:szCs w:val="20"/>
        </w:rPr>
      </w:pPr>
    </w:p>
    <w:p w:rsidR="000E3648" w:rsidRDefault="000E3648" w:rsidP="00EB32C8">
      <w:pPr>
        <w:spacing w:line="0" w:lineRule="atLeast"/>
        <w:rPr>
          <w:rFonts w:asciiTheme="minorHAnsi" w:hAnsiTheme="minorHAnsi" w:cs="Arial"/>
          <w:b/>
          <w:sz w:val="20"/>
          <w:szCs w:val="20"/>
        </w:rPr>
      </w:pPr>
    </w:p>
    <w:p w:rsidR="000E3648" w:rsidRDefault="000E3648" w:rsidP="00EB32C8">
      <w:pPr>
        <w:spacing w:line="0" w:lineRule="atLeast"/>
        <w:rPr>
          <w:rFonts w:asciiTheme="minorHAnsi" w:hAnsiTheme="minorHAnsi" w:cs="Arial"/>
          <w:b/>
          <w:sz w:val="20"/>
          <w:szCs w:val="20"/>
        </w:rPr>
      </w:pPr>
    </w:p>
    <w:p w:rsidR="00E8012E" w:rsidRDefault="00E8012E" w:rsidP="00EB32C8">
      <w:pPr>
        <w:spacing w:line="0" w:lineRule="atLeast"/>
        <w:rPr>
          <w:rFonts w:asciiTheme="minorHAnsi" w:hAnsiTheme="minorHAnsi" w:cs="Arial"/>
          <w:b/>
          <w:sz w:val="20"/>
          <w:szCs w:val="20"/>
        </w:rPr>
      </w:pPr>
    </w:p>
    <w:p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Fernando Noreña Jaramillo</w:t>
      </w:r>
    </w:p>
    <w:p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rsidR="00E8012E" w:rsidRDefault="00E8012E" w:rsidP="00E03A82">
      <w:pPr>
        <w:spacing w:line="0" w:lineRule="atLeast"/>
        <w:rPr>
          <w:rFonts w:asciiTheme="minorHAnsi" w:hAnsiTheme="minorHAnsi"/>
          <w:b/>
          <w:bCs/>
          <w:sz w:val="20"/>
          <w:szCs w:val="20"/>
        </w:rPr>
      </w:pPr>
    </w:p>
    <w:p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rsidR="00E8012E" w:rsidRDefault="00E8012E" w:rsidP="00DF078F">
      <w:pPr>
        <w:spacing w:line="0" w:lineRule="atLeast"/>
        <w:rPr>
          <w:rFonts w:asciiTheme="minorHAnsi" w:hAnsiTheme="minorHAnsi" w:cs="Arial"/>
          <w:b/>
          <w:sz w:val="20"/>
          <w:szCs w:val="20"/>
        </w:rPr>
      </w:pPr>
    </w:p>
    <w:p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rsidTr="0009000C">
        <w:trPr>
          <w:jc w:val="center"/>
        </w:trPr>
        <w:tc>
          <w:tcPr>
            <w:tcW w:w="1129"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AC6E92" w:rsidRPr="00CF29F3" w:rsidTr="00CF29F3">
        <w:trPr>
          <w:jc w:val="center"/>
        </w:trPr>
        <w:tc>
          <w:tcPr>
            <w:tcW w:w="1129" w:type="dxa"/>
            <w:vAlign w:val="center"/>
          </w:tcPr>
          <w:p w:rsidR="00AC6E92" w:rsidRPr="00CF29F3" w:rsidRDefault="00AC6E92" w:rsidP="00AC6E92">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rsidR="00AC6E92" w:rsidRPr="00CF29F3" w:rsidRDefault="00AC6E92" w:rsidP="00AC6E92">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rsidR="00AC6E92" w:rsidRPr="00CF29F3" w:rsidRDefault="00AC6E92" w:rsidP="00AC6E92">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rsidR="00AC6E92" w:rsidRPr="00CF29F3" w:rsidRDefault="00AC6E92" w:rsidP="00AC6E92">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AC6E92" w:rsidRPr="00CF29F3" w:rsidRDefault="00AC6E92" w:rsidP="00AC6E92">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rsidR="00E8012E" w:rsidRPr="00C363D4" w:rsidRDefault="00E8012E" w:rsidP="00080847">
      <w:pPr>
        <w:spacing w:line="0" w:lineRule="atLeast"/>
        <w:rPr>
          <w:rFonts w:asciiTheme="minorHAnsi" w:hAnsiTheme="minorHAnsi" w:cs="Arial"/>
          <w:b/>
          <w:bCs/>
          <w:sz w:val="20"/>
          <w:szCs w:val="20"/>
        </w:rPr>
      </w:pPr>
    </w:p>
    <w:sectPr w:rsidR="00E8012E" w:rsidRPr="00C363D4" w:rsidSect="00080847">
      <w:headerReference w:type="default" r:id="rId12"/>
      <w:footerReference w:type="default" r:id="rId13"/>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F1" w:rsidRDefault="002203F1">
      <w:r>
        <w:separator/>
      </w:r>
    </w:p>
  </w:endnote>
  <w:endnote w:type="continuationSeparator" w:id="0">
    <w:p w:rsidR="002203F1" w:rsidRDefault="002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F1" w:rsidRDefault="002203F1">
      <w:r>
        <w:separator/>
      </w:r>
    </w:p>
  </w:footnote>
  <w:footnote w:type="continuationSeparator" w:id="0">
    <w:p w:rsidR="002203F1" w:rsidRDefault="00220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rsidTr="00B05843">
      <w:trPr>
        <w:trHeight w:val="1825"/>
      </w:trPr>
      <w:tc>
        <w:tcPr>
          <w:tcW w:w="1605" w:type="dxa"/>
          <w:vAlign w:val="center"/>
          <w:hideMark/>
        </w:tcPr>
        <w:p w:rsidR="002831C2" w:rsidRPr="004036F2" w:rsidRDefault="002831C2">
          <w:pPr>
            <w:jc w:val="center"/>
            <w:rPr>
              <w:rFonts w:asciiTheme="minorHAnsi" w:hAnsiTheme="minorHAnsi" w:cs="Arial"/>
              <w:b/>
              <w:sz w:val="22"/>
            </w:rPr>
          </w:pPr>
          <w:r>
            <w:rPr>
              <w:noProof/>
              <w:lang w:val="es-CO" w:eastAsia="es-CO"/>
            </w:rPr>
            <w:drawing>
              <wp:inline distT="0" distB="0" distL="0" distR="0" wp14:anchorId="627E2FB5" wp14:editId="1DF91BCE">
                <wp:extent cx="1171185" cy="854648"/>
                <wp:effectExtent l="0" t="0" r="0" b="3175"/>
                <wp:docPr id="1107"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7A348D">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7A348D">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rsidR="002831C2" w:rsidRPr="004036F2" w:rsidRDefault="002831C2">
          <w:pPr>
            <w:tabs>
              <w:tab w:val="left" w:pos="3450"/>
            </w:tabs>
            <w:jc w:val="center"/>
            <w:rPr>
              <w:rFonts w:asciiTheme="minorHAnsi" w:hAnsiTheme="minorHAnsi" w:cs="Arial"/>
              <w:b/>
              <w:sz w:val="22"/>
            </w:rPr>
          </w:pPr>
        </w:p>
      </w:tc>
    </w:tr>
  </w:tbl>
  <w:p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0C3F1F"/>
    <w:multiLevelType w:val="hybridMultilevel"/>
    <w:tmpl w:val="845C4C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35711"/>
    <w:multiLevelType w:val="hybridMultilevel"/>
    <w:tmpl w:val="2C68F928"/>
    <w:lvl w:ilvl="0" w:tplc="3C7A9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9A4296"/>
    <w:multiLevelType w:val="hybridMultilevel"/>
    <w:tmpl w:val="66D20E94"/>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72294"/>
    <w:multiLevelType w:val="hybridMultilevel"/>
    <w:tmpl w:val="C55015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C803118"/>
    <w:multiLevelType w:val="hybridMultilevel"/>
    <w:tmpl w:val="4D58A270"/>
    <w:lvl w:ilvl="0" w:tplc="21E6F4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7"/>
  </w:num>
  <w:num w:numId="6">
    <w:abstractNumId w:val="8"/>
  </w:num>
  <w:num w:numId="7">
    <w:abstractNumId w:val="7"/>
  </w:num>
  <w:num w:numId="8">
    <w:abstractNumId w:val="9"/>
  </w:num>
  <w:num w:numId="9">
    <w:abstractNumId w:val="10"/>
  </w:num>
  <w:num w:numId="10">
    <w:abstractNumId w:val="19"/>
  </w:num>
  <w:num w:numId="11">
    <w:abstractNumId w:val="3"/>
  </w:num>
  <w:num w:numId="12">
    <w:abstractNumId w:val="12"/>
  </w:num>
  <w:num w:numId="13">
    <w:abstractNumId w:val="5"/>
  </w:num>
  <w:num w:numId="14">
    <w:abstractNumId w:val="1"/>
  </w:num>
  <w:num w:numId="15">
    <w:abstractNumId w:val="11"/>
  </w:num>
  <w:num w:numId="16">
    <w:abstractNumId w:val="22"/>
  </w:num>
  <w:num w:numId="17">
    <w:abstractNumId w:val="0"/>
  </w:num>
  <w:num w:numId="18">
    <w:abstractNumId w:val="6"/>
  </w:num>
  <w:num w:numId="19">
    <w:abstractNumId w:val="18"/>
  </w:num>
  <w:num w:numId="20">
    <w:abstractNumId w:val="13"/>
  </w:num>
  <w:num w:numId="21">
    <w:abstractNumId w:val="4"/>
  </w:num>
  <w:num w:numId="22">
    <w:abstractNumId w:val="14"/>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6A00"/>
    <w:rsid w:val="00017131"/>
    <w:rsid w:val="00036D46"/>
    <w:rsid w:val="00042F98"/>
    <w:rsid w:val="000473A1"/>
    <w:rsid w:val="000507E7"/>
    <w:rsid w:val="000519BF"/>
    <w:rsid w:val="00052E23"/>
    <w:rsid w:val="00054B23"/>
    <w:rsid w:val="00056DFD"/>
    <w:rsid w:val="000578E4"/>
    <w:rsid w:val="0006072B"/>
    <w:rsid w:val="0006289B"/>
    <w:rsid w:val="00070214"/>
    <w:rsid w:val="00072BFA"/>
    <w:rsid w:val="00075ABC"/>
    <w:rsid w:val="000762FE"/>
    <w:rsid w:val="00080847"/>
    <w:rsid w:val="00084BF7"/>
    <w:rsid w:val="00085CA0"/>
    <w:rsid w:val="00086C7B"/>
    <w:rsid w:val="0009000C"/>
    <w:rsid w:val="00090316"/>
    <w:rsid w:val="0009668C"/>
    <w:rsid w:val="00096CFF"/>
    <w:rsid w:val="000A05C4"/>
    <w:rsid w:val="000A54CF"/>
    <w:rsid w:val="000A7E1C"/>
    <w:rsid w:val="000B0CAB"/>
    <w:rsid w:val="000B7721"/>
    <w:rsid w:val="000C731D"/>
    <w:rsid w:val="000D1CDC"/>
    <w:rsid w:val="000D2F9C"/>
    <w:rsid w:val="000E0EB2"/>
    <w:rsid w:val="000E1695"/>
    <w:rsid w:val="000E24DB"/>
    <w:rsid w:val="000E3648"/>
    <w:rsid w:val="000E6055"/>
    <w:rsid w:val="000E633D"/>
    <w:rsid w:val="000E63D8"/>
    <w:rsid w:val="000F28FB"/>
    <w:rsid w:val="000F3316"/>
    <w:rsid w:val="000F49D3"/>
    <w:rsid w:val="000F6A51"/>
    <w:rsid w:val="00101D9D"/>
    <w:rsid w:val="00104090"/>
    <w:rsid w:val="001061BC"/>
    <w:rsid w:val="0010740B"/>
    <w:rsid w:val="0011177C"/>
    <w:rsid w:val="00113273"/>
    <w:rsid w:val="00116652"/>
    <w:rsid w:val="001176FC"/>
    <w:rsid w:val="001224CE"/>
    <w:rsid w:val="00124A24"/>
    <w:rsid w:val="00124D81"/>
    <w:rsid w:val="00136324"/>
    <w:rsid w:val="0013744F"/>
    <w:rsid w:val="00137FC8"/>
    <w:rsid w:val="00142765"/>
    <w:rsid w:val="00143CC0"/>
    <w:rsid w:val="001456A5"/>
    <w:rsid w:val="00151494"/>
    <w:rsid w:val="001558F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E4A2A"/>
    <w:rsid w:val="001E769B"/>
    <w:rsid w:val="001F5100"/>
    <w:rsid w:val="001F5702"/>
    <w:rsid w:val="002006FB"/>
    <w:rsid w:val="00205372"/>
    <w:rsid w:val="002056C2"/>
    <w:rsid w:val="002106B5"/>
    <w:rsid w:val="002114F6"/>
    <w:rsid w:val="002203F1"/>
    <w:rsid w:val="002227C4"/>
    <w:rsid w:val="0022494B"/>
    <w:rsid w:val="00225A27"/>
    <w:rsid w:val="002263BB"/>
    <w:rsid w:val="00232106"/>
    <w:rsid w:val="002334D8"/>
    <w:rsid w:val="00234DF4"/>
    <w:rsid w:val="00236281"/>
    <w:rsid w:val="00240CB3"/>
    <w:rsid w:val="00241535"/>
    <w:rsid w:val="00242CE9"/>
    <w:rsid w:val="002523B3"/>
    <w:rsid w:val="002525AD"/>
    <w:rsid w:val="00255EEC"/>
    <w:rsid w:val="00256B7C"/>
    <w:rsid w:val="002611D9"/>
    <w:rsid w:val="00263F64"/>
    <w:rsid w:val="0026498D"/>
    <w:rsid w:val="002661CC"/>
    <w:rsid w:val="00272854"/>
    <w:rsid w:val="002734BE"/>
    <w:rsid w:val="002831C2"/>
    <w:rsid w:val="00285FF8"/>
    <w:rsid w:val="0029034A"/>
    <w:rsid w:val="00290B90"/>
    <w:rsid w:val="00293440"/>
    <w:rsid w:val="00293CF1"/>
    <w:rsid w:val="002A44EC"/>
    <w:rsid w:val="002A5CE3"/>
    <w:rsid w:val="002A719A"/>
    <w:rsid w:val="002B03BE"/>
    <w:rsid w:val="002B43E9"/>
    <w:rsid w:val="002B4FD6"/>
    <w:rsid w:val="002B554B"/>
    <w:rsid w:val="002B72D8"/>
    <w:rsid w:val="002B78B0"/>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A55"/>
    <w:rsid w:val="00307CD2"/>
    <w:rsid w:val="003131F7"/>
    <w:rsid w:val="0031349C"/>
    <w:rsid w:val="00314065"/>
    <w:rsid w:val="0031434B"/>
    <w:rsid w:val="00322F74"/>
    <w:rsid w:val="00323FCC"/>
    <w:rsid w:val="003325F7"/>
    <w:rsid w:val="00333898"/>
    <w:rsid w:val="00333FE8"/>
    <w:rsid w:val="0033485B"/>
    <w:rsid w:val="0034196E"/>
    <w:rsid w:val="00342429"/>
    <w:rsid w:val="00344701"/>
    <w:rsid w:val="00344708"/>
    <w:rsid w:val="00347179"/>
    <w:rsid w:val="00350C5F"/>
    <w:rsid w:val="00354025"/>
    <w:rsid w:val="00356827"/>
    <w:rsid w:val="0035731B"/>
    <w:rsid w:val="00360680"/>
    <w:rsid w:val="00360F09"/>
    <w:rsid w:val="00361004"/>
    <w:rsid w:val="00364B2D"/>
    <w:rsid w:val="0036506A"/>
    <w:rsid w:val="00367328"/>
    <w:rsid w:val="00373896"/>
    <w:rsid w:val="0037401F"/>
    <w:rsid w:val="003741BC"/>
    <w:rsid w:val="00380B52"/>
    <w:rsid w:val="00382346"/>
    <w:rsid w:val="003832B1"/>
    <w:rsid w:val="00387619"/>
    <w:rsid w:val="00390606"/>
    <w:rsid w:val="003955D0"/>
    <w:rsid w:val="003964E4"/>
    <w:rsid w:val="003971FE"/>
    <w:rsid w:val="003A38CC"/>
    <w:rsid w:val="003A4235"/>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719"/>
    <w:rsid w:val="00422EC9"/>
    <w:rsid w:val="00432899"/>
    <w:rsid w:val="004342F4"/>
    <w:rsid w:val="00436855"/>
    <w:rsid w:val="00440919"/>
    <w:rsid w:val="0044379E"/>
    <w:rsid w:val="00453FBC"/>
    <w:rsid w:val="004558E1"/>
    <w:rsid w:val="00456052"/>
    <w:rsid w:val="00457C65"/>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6981"/>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0499"/>
    <w:rsid w:val="00504025"/>
    <w:rsid w:val="005042A8"/>
    <w:rsid w:val="005048B0"/>
    <w:rsid w:val="00505204"/>
    <w:rsid w:val="00507A82"/>
    <w:rsid w:val="005105A3"/>
    <w:rsid w:val="00510729"/>
    <w:rsid w:val="00511298"/>
    <w:rsid w:val="00516803"/>
    <w:rsid w:val="0052595E"/>
    <w:rsid w:val="005270A3"/>
    <w:rsid w:val="005355B1"/>
    <w:rsid w:val="00536763"/>
    <w:rsid w:val="0054597A"/>
    <w:rsid w:val="00547BD0"/>
    <w:rsid w:val="0055396A"/>
    <w:rsid w:val="0056006D"/>
    <w:rsid w:val="00560492"/>
    <w:rsid w:val="00562A9B"/>
    <w:rsid w:val="00563FBB"/>
    <w:rsid w:val="00565B66"/>
    <w:rsid w:val="00571F86"/>
    <w:rsid w:val="00572FA7"/>
    <w:rsid w:val="005739BB"/>
    <w:rsid w:val="00583EF1"/>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E1C24"/>
    <w:rsid w:val="005E1F66"/>
    <w:rsid w:val="005E4866"/>
    <w:rsid w:val="005E66C4"/>
    <w:rsid w:val="00602917"/>
    <w:rsid w:val="0060515A"/>
    <w:rsid w:val="00613DBB"/>
    <w:rsid w:val="00614A3D"/>
    <w:rsid w:val="006154A0"/>
    <w:rsid w:val="00616A91"/>
    <w:rsid w:val="00616AE0"/>
    <w:rsid w:val="0062405D"/>
    <w:rsid w:val="00632F86"/>
    <w:rsid w:val="00640501"/>
    <w:rsid w:val="006427C0"/>
    <w:rsid w:val="0064338C"/>
    <w:rsid w:val="00645AD7"/>
    <w:rsid w:val="0065175C"/>
    <w:rsid w:val="006571E3"/>
    <w:rsid w:val="0066488A"/>
    <w:rsid w:val="00665C4A"/>
    <w:rsid w:val="006668A6"/>
    <w:rsid w:val="0067030D"/>
    <w:rsid w:val="006704E7"/>
    <w:rsid w:val="00670CC0"/>
    <w:rsid w:val="00674960"/>
    <w:rsid w:val="006753BE"/>
    <w:rsid w:val="00676B38"/>
    <w:rsid w:val="006774A0"/>
    <w:rsid w:val="00696A91"/>
    <w:rsid w:val="006A1D7D"/>
    <w:rsid w:val="006A68ED"/>
    <w:rsid w:val="006B73B8"/>
    <w:rsid w:val="006C00D5"/>
    <w:rsid w:val="006C1B6B"/>
    <w:rsid w:val="006C1FB7"/>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3518"/>
    <w:rsid w:val="007341E8"/>
    <w:rsid w:val="00734EBC"/>
    <w:rsid w:val="00736E5A"/>
    <w:rsid w:val="00737DC3"/>
    <w:rsid w:val="007450DE"/>
    <w:rsid w:val="00756B67"/>
    <w:rsid w:val="00764093"/>
    <w:rsid w:val="00767501"/>
    <w:rsid w:val="0077229A"/>
    <w:rsid w:val="0077272D"/>
    <w:rsid w:val="0077335D"/>
    <w:rsid w:val="0077403F"/>
    <w:rsid w:val="007759A8"/>
    <w:rsid w:val="00785402"/>
    <w:rsid w:val="00787881"/>
    <w:rsid w:val="007967E9"/>
    <w:rsid w:val="00797881"/>
    <w:rsid w:val="007A348D"/>
    <w:rsid w:val="007A6979"/>
    <w:rsid w:val="007A726B"/>
    <w:rsid w:val="007B2480"/>
    <w:rsid w:val="007B4CB6"/>
    <w:rsid w:val="007B6272"/>
    <w:rsid w:val="007B707A"/>
    <w:rsid w:val="007C4517"/>
    <w:rsid w:val="007D58B0"/>
    <w:rsid w:val="007E6343"/>
    <w:rsid w:val="007E6943"/>
    <w:rsid w:val="007E6ED4"/>
    <w:rsid w:val="007F332D"/>
    <w:rsid w:val="007F36EE"/>
    <w:rsid w:val="00800136"/>
    <w:rsid w:val="00804F40"/>
    <w:rsid w:val="008052AE"/>
    <w:rsid w:val="00805B8F"/>
    <w:rsid w:val="00812CB7"/>
    <w:rsid w:val="0081324F"/>
    <w:rsid w:val="008150B8"/>
    <w:rsid w:val="00817301"/>
    <w:rsid w:val="00820821"/>
    <w:rsid w:val="008222CB"/>
    <w:rsid w:val="0082401A"/>
    <w:rsid w:val="008309EC"/>
    <w:rsid w:val="00833163"/>
    <w:rsid w:val="00842C59"/>
    <w:rsid w:val="00842E0A"/>
    <w:rsid w:val="00847891"/>
    <w:rsid w:val="008511DC"/>
    <w:rsid w:val="008553FC"/>
    <w:rsid w:val="00863C18"/>
    <w:rsid w:val="00864E01"/>
    <w:rsid w:val="00865900"/>
    <w:rsid w:val="0086602D"/>
    <w:rsid w:val="008664F5"/>
    <w:rsid w:val="008752B3"/>
    <w:rsid w:val="00887377"/>
    <w:rsid w:val="0089045D"/>
    <w:rsid w:val="00894DEC"/>
    <w:rsid w:val="0089608A"/>
    <w:rsid w:val="008A2327"/>
    <w:rsid w:val="008A58C6"/>
    <w:rsid w:val="008A663B"/>
    <w:rsid w:val="008A6DE4"/>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2B1B"/>
    <w:rsid w:val="008E5BE7"/>
    <w:rsid w:val="008E75C0"/>
    <w:rsid w:val="008E7A30"/>
    <w:rsid w:val="008F24A3"/>
    <w:rsid w:val="008F76D7"/>
    <w:rsid w:val="008F7A18"/>
    <w:rsid w:val="009037C2"/>
    <w:rsid w:val="00904AC3"/>
    <w:rsid w:val="00905ABE"/>
    <w:rsid w:val="00907097"/>
    <w:rsid w:val="00912D92"/>
    <w:rsid w:val="0091462A"/>
    <w:rsid w:val="00935D2F"/>
    <w:rsid w:val="00942926"/>
    <w:rsid w:val="00946B10"/>
    <w:rsid w:val="00946C81"/>
    <w:rsid w:val="00947BE5"/>
    <w:rsid w:val="00953228"/>
    <w:rsid w:val="0097292D"/>
    <w:rsid w:val="009801D8"/>
    <w:rsid w:val="00980D1E"/>
    <w:rsid w:val="00980E9D"/>
    <w:rsid w:val="00984162"/>
    <w:rsid w:val="009924B1"/>
    <w:rsid w:val="009A089F"/>
    <w:rsid w:val="009A0B41"/>
    <w:rsid w:val="009A1AA5"/>
    <w:rsid w:val="009A35D0"/>
    <w:rsid w:val="009A4949"/>
    <w:rsid w:val="009A64FD"/>
    <w:rsid w:val="009A7BCE"/>
    <w:rsid w:val="009B62EB"/>
    <w:rsid w:val="009B7E18"/>
    <w:rsid w:val="009C17EA"/>
    <w:rsid w:val="009C2CF9"/>
    <w:rsid w:val="009C3BBD"/>
    <w:rsid w:val="009D28C7"/>
    <w:rsid w:val="009D3DE4"/>
    <w:rsid w:val="009E7E52"/>
    <w:rsid w:val="009F3783"/>
    <w:rsid w:val="009F46B9"/>
    <w:rsid w:val="009F5809"/>
    <w:rsid w:val="00A00D6F"/>
    <w:rsid w:val="00A019FD"/>
    <w:rsid w:val="00A111A1"/>
    <w:rsid w:val="00A12134"/>
    <w:rsid w:val="00A1222F"/>
    <w:rsid w:val="00A2190E"/>
    <w:rsid w:val="00A2260E"/>
    <w:rsid w:val="00A22D77"/>
    <w:rsid w:val="00A2367C"/>
    <w:rsid w:val="00A260A7"/>
    <w:rsid w:val="00A27925"/>
    <w:rsid w:val="00A31EB0"/>
    <w:rsid w:val="00A32ABB"/>
    <w:rsid w:val="00A35B14"/>
    <w:rsid w:val="00A36155"/>
    <w:rsid w:val="00A433EE"/>
    <w:rsid w:val="00A4724E"/>
    <w:rsid w:val="00A50924"/>
    <w:rsid w:val="00A5518B"/>
    <w:rsid w:val="00A556FA"/>
    <w:rsid w:val="00A61513"/>
    <w:rsid w:val="00A63B68"/>
    <w:rsid w:val="00A64DB0"/>
    <w:rsid w:val="00A64F01"/>
    <w:rsid w:val="00A7054E"/>
    <w:rsid w:val="00A762F7"/>
    <w:rsid w:val="00A81B24"/>
    <w:rsid w:val="00A8724C"/>
    <w:rsid w:val="00A92094"/>
    <w:rsid w:val="00A94B59"/>
    <w:rsid w:val="00A952A2"/>
    <w:rsid w:val="00A9540A"/>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4AE5"/>
    <w:rsid w:val="00AC6E92"/>
    <w:rsid w:val="00AC700E"/>
    <w:rsid w:val="00AC7FE7"/>
    <w:rsid w:val="00AD089E"/>
    <w:rsid w:val="00AD390F"/>
    <w:rsid w:val="00AE1706"/>
    <w:rsid w:val="00AE7DC8"/>
    <w:rsid w:val="00AF1DD5"/>
    <w:rsid w:val="00AF3D94"/>
    <w:rsid w:val="00AF4897"/>
    <w:rsid w:val="00B008A3"/>
    <w:rsid w:val="00B01685"/>
    <w:rsid w:val="00B01D01"/>
    <w:rsid w:val="00B04625"/>
    <w:rsid w:val="00B049AE"/>
    <w:rsid w:val="00B05843"/>
    <w:rsid w:val="00B114CF"/>
    <w:rsid w:val="00B1186C"/>
    <w:rsid w:val="00B12C28"/>
    <w:rsid w:val="00B16BD6"/>
    <w:rsid w:val="00B203CF"/>
    <w:rsid w:val="00B244F9"/>
    <w:rsid w:val="00B27ED0"/>
    <w:rsid w:val="00B3241D"/>
    <w:rsid w:val="00B349AF"/>
    <w:rsid w:val="00B400F4"/>
    <w:rsid w:val="00B41567"/>
    <w:rsid w:val="00B429BC"/>
    <w:rsid w:val="00B462F4"/>
    <w:rsid w:val="00B53B3F"/>
    <w:rsid w:val="00B64C2F"/>
    <w:rsid w:val="00B667D5"/>
    <w:rsid w:val="00B66BFD"/>
    <w:rsid w:val="00B670A4"/>
    <w:rsid w:val="00B67736"/>
    <w:rsid w:val="00B729DC"/>
    <w:rsid w:val="00B72A46"/>
    <w:rsid w:val="00B743D4"/>
    <w:rsid w:val="00B764E7"/>
    <w:rsid w:val="00B825E1"/>
    <w:rsid w:val="00B83C9D"/>
    <w:rsid w:val="00B90D01"/>
    <w:rsid w:val="00B941C8"/>
    <w:rsid w:val="00B9436B"/>
    <w:rsid w:val="00B948F0"/>
    <w:rsid w:val="00B951B3"/>
    <w:rsid w:val="00B95B33"/>
    <w:rsid w:val="00BA1C71"/>
    <w:rsid w:val="00BA1D56"/>
    <w:rsid w:val="00BA3221"/>
    <w:rsid w:val="00BA4B52"/>
    <w:rsid w:val="00BA762F"/>
    <w:rsid w:val="00BB2C7F"/>
    <w:rsid w:val="00BB4682"/>
    <w:rsid w:val="00BC058B"/>
    <w:rsid w:val="00BC56E3"/>
    <w:rsid w:val="00BD633A"/>
    <w:rsid w:val="00BE2A3C"/>
    <w:rsid w:val="00BE43E7"/>
    <w:rsid w:val="00BE503F"/>
    <w:rsid w:val="00BE5487"/>
    <w:rsid w:val="00BF2ED1"/>
    <w:rsid w:val="00BF3E0F"/>
    <w:rsid w:val="00BF7B61"/>
    <w:rsid w:val="00C00D45"/>
    <w:rsid w:val="00C00EE9"/>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0ABB"/>
    <w:rsid w:val="00C4553C"/>
    <w:rsid w:val="00C4677F"/>
    <w:rsid w:val="00C50B50"/>
    <w:rsid w:val="00C52EA8"/>
    <w:rsid w:val="00C539A1"/>
    <w:rsid w:val="00C54157"/>
    <w:rsid w:val="00C55FCC"/>
    <w:rsid w:val="00C566B0"/>
    <w:rsid w:val="00C60860"/>
    <w:rsid w:val="00C622B5"/>
    <w:rsid w:val="00C63960"/>
    <w:rsid w:val="00C66888"/>
    <w:rsid w:val="00C67442"/>
    <w:rsid w:val="00C67AA2"/>
    <w:rsid w:val="00C7349C"/>
    <w:rsid w:val="00C778DF"/>
    <w:rsid w:val="00C77EC3"/>
    <w:rsid w:val="00C81CE9"/>
    <w:rsid w:val="00C82301"/>
    <w:rsid w:val="00C86B01"/>
    <w:rsid w:val="00C8721B"/>
    <w:rsid w:val="00C94119"/>
    <w:rsid w:val="00C94CEF"/>
    <w:rsid w:val="00C95150"/>
    <w:rsid w:val="00C9706F"/>
    <w:rsid w:val="00C97F80"/>
    <w:rsid w:val="00CA0BD8"/>
    <w:rsid w:val="00CA0BDF"/>
    <w:rsid w:val="00CB3D95"/>
    <w:rsid w:val="00CB7A63"/>
    <w:rsid w:val="00CC24EE"/>
    <w:rsid w:val="00CC41AA"/>
    <w:rsid w:val="00CC446B"/>
    <w:rsid w:val="00CD2534"/>
    <w:rsid w:val="00CD44D0"/>
    <w:rsid w:val="00CE241F"/>
    <w:rsid w:val="00CE2B1B"/>
    <w:rsid w:val="00CE2F9A"/>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3B4F"/>
    <w:rsid w:val="00D241CD"/>
    <w:rsid w:val="00D327D9"/>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97E83"/>
    <w:rsid w:val="00DA5384"/>
    <w:rsid w:val="00DA5785"/>
    <w:rsid w:val="00DB108F"/>
    <w:rsid w:val="00DB1F45"/>
    <w:rsid w:val="00DB4EFC"/>
    <w:rsid w:val="00DB6C13"/>
    <w:rsid w:val="00DB6CC7"/>
    <w:rsid w:val="00DB6EDB"/>
    <w:rsid w:val="00DC6280"/>
    <w:rsid w:val="00DC7631"/>
    <w:rsid w:val="00DE6485"/>
    <w:rsid w:val="00DE78CB"/>
    <w:rsid w:val="00DF078F"/>
    <w:rsid w:val="00DF099F"/>
    <w:rsid w:val="00DF1DDB"/>
    <w:rsid w:val="00DF21E6"/>
    <w:rsid w:val="00DF54D7"/>
    <w:rsid w:val="00E009B7"/>
    <w:rsid w:val="00E00E13"/>
    <w:rsid w:val="00E02F34"/>
    <w:rsid w:val="00E0350E"/>
    <w:rsid w:val="00E03A82"/>
    <w:rsid w:val="00E054D3"/>
    <w:rsid w:val="00E0731F"/>
    <w:rsid w:val="00E12BDA"/>
    <w:rsid w:val="00E170AF"/>
    <w:rsid w:val="00E30539"/>
    <w:rsid w:val="00E3341B"/>
    <w:rsid w:val="00E34006"/>
    <w:rsid w:val="00E357E3"/>
    <w:rsid w:val="00E35CDE"/>
    <w:rsid w:val="00E36606"/>
    <w:rsid w:val="00E37C2B"/>
    <w:rsid w:val="00E53A15"/>
    <w:rsid w:val="00E53D08"/>
    <w:rsid w:val="00E664B2"/>
    <w:rsid w:val="00E6740A"/>
    <w:rsid w:val="00E72A49"/>
    <w:rsid w:val="00E736AE"/>
    <w:rsid w:val="00E73996"/>
    <w:rsid w:val="00E742CD"/>
    <w:rsid w:val="00E8012E"/>
    <w:rsid w:val="00E81B79"/>
    <w:rsid w:val="00E81C5A"/>
    <w:rsid w:val="00E96669"/>
    <w:rsid w:val="00EA0513"/>
    <w:rsid w:val="00EA33BF"/>
    <w:rsid w:val="00EA3D43"/>
    <w:rsid w:val="00EA4EAB"/>
    <w:rsid w:val="00EA6DDB"/>
    <w:rsid w:val="00EA7EB3"/>
    <w:rsid w:val="00EB1CB2"/>
    <w:rsid w:val="00EB32C8"/>
    <w:rsid w:val="00EB65DD"/>
    <w:rsid w:val="00EC28A3"/>
    <w:rsid w:val="00EC4C52"/>
    <w:rsid w:val="00ED1C6F"/>
    <w:rsid w:val="00ED7F0E"/>
    <w:rsid w:val="00EE005E"/>
    <w:rsid w:val="00EE3E21"/>
    <w:rsid w:val="00EE594B"/>
    <w:rsid w:val="00EE5B05"/>
    <w:rsid w:val="00EF4CE4"/>
    <w:rsid w:val="00EF7C78"/>
    <w:rsid w:val="00EF7EDC"/>
    <w:rsid w:val="00F019B5"/>
    <w:rsid w:val="00F1533D"/>
    <w:rsid w:val="00F244F1"/>
    <w:rsid w:val="00F24B46"/>
    <w:rsid w:val="00F27E6F"/>
    <w:rsid w:val="00F30B2E"/>
    <w:rsid w:val="00F31E54"/>
    <w:rsid w:val="00F43A75"/>
    <w:rsid w:val="00F44AE1"/>
    <w:rsid w:val="00F45FE3"/>
    <w:rsid w:val="00F50800"/>
    <w:rsid w:val="00F537DA"/>
    <w:rsid w:val="00F5465E"/>
    <w:rsid w:val="00F56736"/>
    <w:rsid w:val="00F57621"/>
    <w:rsid w:val="00F576B4"/>
    <w:rsid w:val="00F75544"/>
    <w:rsid w:val="00F9325B"/>
    <w:rsid w:val="00F935CB"/>
    <w:rsid w:val="00F9728D"/>
    <w:rsid w:val="00FA09DC"/>
    <w:rsid w:val="00FA321C"/>
    <w:rsid w:val="00FA44C2"/>
    <w:rsid w:val="00FA6DEB"/>
    <w:rsid w:val="00FB5281"/>
    <w:rsid w:val="00FB7EEB"/>
    <w:rsid w:val="00FC0D43"/>
    <w:rsid w:val="00FC44D7"/>
    <w:rsid w:val="00FD1DDF"/>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styleId="Textodelmarcadordeposicin">
    <w:name w:val="Placeholder Text"/>
    <w:basedOn w:val="Fuentedeprrafopredeter"/>
    <w:uiPriority w:val="99"/>
    <w:semiHidden/>
    <w:rsid w:val="00D97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38514163">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33810825">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684745716">
      <w:bodyDiv w:val="1"/>
      <w:marLeft w:val="0"/>
      <w:marRight w:val="0"/>
      <w:marTop w:val="0"/>
      <w:marBottom w:val="0"/>
      <w:divBdr>
        <w:top w:val="none" w:sz="0" w:space="0" w:color="auto"/>
        <w:left w:val="none" w:sz="0" w:space="0" w:color="auto"/>
        <w:bottom w:val="none" w:sz="0" w:space="0" w:color="auto"/>
        <w:right w:val="none" w:sz="0" w:space="0" w:color="auto"/>
      </w:divBdr>
      <w:divsChild>
        <w:div w:id="975183959">
          <w:marLeft w:val="0"/>
          <w:marRight w:val="0"/>
          <w:marTop w:val="0"/>
          <w:marBottom w:val="0"/>
          <w:divBdr>
            <w:top w:val="none" w:sz="0" w:space="0" w:color="auto"/>
            <w:left w:val="none" w:sz="0" w:space="0" w:color="auto"/>
            <w:bottom w:val="none" w:sz="0" w:space="0" w:color="auto"/>
            <w:right w:val="none" w:sz="0" w:space="0" w:color="auto"/>
          </w:divBdr>
        </w:div>
      </w:divsChild>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p.edu.co/vicerrectoria/administrativa/ejecucion-presupuestal.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utp.edu.co/vicerrectoria/administrativa/ejecucion-presupuest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12</cp:revision>
  <cp:lastPrinted>2008-11-24T15:14:00Z</cp:lastPrinted>
  <dcterms:created xsi:type="dcterms:W3CDTF">2020-03-06T22:14:00Z</dcterms:created>
  <dcterms:modified xsi:type="dcterms:W3CDTF">2020-04-27T22:41:00Z</dcterms:modified>
</cp:coreProperties>
</file>