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DD0598" w:rsidRPr="00504025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:rsidR="00DD0598" w:rsidRPr="00504025" w:rsidRDefault="00DD0598" w:rsidP="00DD0598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bookmarkStart w:id="0" w:name="_GoBack" w:colFirst="3" w:colLast="4"/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GSI0302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DD0598" w:rsidRPr="0041438F" w:rsidRDefault="00DD0598" w:rsidP="00DD0598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DD0598" w:rsidRPr="0041438F" w:rsidRDefault="00DD0598" w:rsidP="00DD0598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:rsidR="00DD0598" w:rsidRPr="0041438F" w:rsidRDefault="00DD0598" w:rsidP="00DD0598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:rsidR="00DD0598" w:rsidRPr="0041438F" w:rsidRDefault="00DD0598" w:rsidP="00DD0598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28/04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/2020</w:t>
            </w:r>
          </w:p>
        </w:tc>
      </w:tr>
      <w:bookmarkEnd w:id="0"/>
      <w:tr w:rsidR="00E8012E" w:rsidRPr="00504025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Capacidad de financiación</w:t>
            </w:r>
          </w:p>
        </w:tc>
      </w:tr>
      <w:tr w:rsidR="00E8012E" w:rsidRPr="00504025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Mide la solvencia financiera de la Universidad, reflejando la importancia de la capacidad de financiación dentro del ejercicio presupuestario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y sostenibilidad Institucional</w:t>
            </w:r>
          </w:p>
        </w:tc>
      </w:tr>
      <w:tr w:rsidR="00E8012E" w:rsidRPr="00504025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Impulsor(es) estratégico(s) al que aporta: </w:t>
            </w:r>
            <w:r w:rsidR="00DC341F" w:rsidRPr="00104090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Fortalecer la sostenibilidad institucional a través de la gestión y la conservación de los recursos financieros, así como por el desarrollo humano y organizacional, que soporten el funcionamiento y la operación de la Institución.</w:t>
            </w:r>
          </w:p>
        </w:tc>
      </w:tr>
      <w:tr w:rsidR="00E8012E" w:rsidRPr="00504025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C341F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DC341F">
              <w:rPr>
                <w:rFonts w:asciiTheme="minorHAnsi" w:hAnsiTheme="minorHAnsi" w:cs="Arial"/>
                <w:sz w:val="20"/>
                <w:szCs w:val="20"/>
                <w:lang w:val="es-CO"/>
              </w:rPr>
              <w:t>Administración Institucional</w:t>
            </w:r>
          </w:p>
        </w:tc>
      </w:tr>
      <w:tr w:rsidR="00E8012E" w:rsidRPr="00504025" w:rsidTr="00B05843">
        <w:trPr>
          <w:trHeight w:val="268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:rsidR="00E8012E" w:rsidRPr="00DC341F" w:rsidRDefault="00E8012E" w:rsidP="0078788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="001C113C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1</w:t>
            </w:r>
            <w:r w:rsidR="00DC341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  <w:r w:rsidR="001C113C" w:rsidRPr="00DC341F">
              <w:rPr>
                <w:rFonts w:asciiTheme="minorHAnsi" w:hAnsiTheme="minorHAnsi" w:cs="Arial"/>
                <w:sz w:val="20"/>
                <w:szCs w:val="20"/>
                <w:lang w:val="es-CO"/>
              </w:rPr>
              <w:t>MISIÓN Y PROYECTO INSTITUCIONAL</w:t>
            </w:r>
          </w:p>
          <w:p w:rsidR="00E8012E" w:rsidRDefault="00DC341F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  </w:t>
            </w:r>
            <w:r w:rsidRPr="00DC341F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 xml:space="preserve">Característica </w:t>
            </w:r>
            <w:r w:rsidR="001C113C" w:rsidRPr="00DC341F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1</w:t>
            </w:r>
            <w:r w:rsidRPr="00DC341F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1C113C" w:rsidRPr="00DC341F">
              <w:rPr>
                <w:rFonts w:asciiTheme="minorHAnsi" w:hAnsiTheme="minorHAnsi" w:cs="Arial"/>
                <w:sz w:val="20"/>
                <w:szCs w:val="20"/>
                <w:lang w:val="es-CO"/>
              </w:rPr>
              <w:t>Coherencia y pertinencia de la Misión</w:t>
            </w:r>
          </w:p>
          <w:p w:rsidR="00E8012E" w:rsidRPr="001C113C" w:rsidRDefault="00DC341F" w:rsidP="0048715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      </w:t>
            </w:r>
            <w:r w:rsidR="00487157" w:rsidRPr="0048439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</w:t>
            </w:r>
            <w:r w:rsidR="00487157" w:rsidRPr="00DC341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1C113C" w:rsidRPr="00DC341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C.</w:t>
            </w:r>
            <w:r w:rsidR="001C113C" w:rsidRPr="001C113C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686072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 </w:t>
            </w:r>
            <w:r w:rsidR="001C113C" w:rsidRPr="001C113C">
              <w:rPr>
                <w:rFonts w:asciiTheme="minorHAnsi" w:hAnsiTheme="minorHAnsi" w:cs="Arial"/>
                <w:sz w:val="20"/>
                <w:szCs w:val="20"/>
                <w:lang w:val="es-CO"/>
              </w:rPr>
              <w:t>Coherencia y pertinencia de la misión con los procesos académicos y administrativos.</w:t>
            </w:r>
          </w:p>
          <w:p w:rsidR="001C113C" w:rsidRDefault="001C113C" w:rsidP="001C1A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E8012E" w:rsidRPr="00DC341F" w:rsidRDefault="00E8012E" w:rsidP="001C1AF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DC341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="00686072" w:rsidRPr="00DC341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2</w:t>
            </w:r>
            <w:r w:rsidR="00DC341F" w:rsidRPr="00DC341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 w:rsidR="00DC341F" w:rsidRPr="00DC341F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686072" w:rsidRPr="00DC341F">
              <w:rPr>
                <w:rFonts w:asciiTheme="minorHAnsi" w:hAnsiTheme="minorHAnsi" w:cs="Arial"/>
                <w:sz w:val="20"/>
                <w:szCs w:val="20"/>
                <w:lang w:val="es-CO"/>
              </w:rPr>
              <w:t>ESTUDIANTES</w:t>
            </w:r>
          </w:p>
          <w:p w:rsidR="00E8012E" w:rsidRDefault="00DC341F" w:rsidP="001C1AF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 </w:t>
            </w:r>
            <w:r w:rsidRPr="00DC341F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 xml:space="preserve">Característica </w:t>
            </w:r>
            <w:r w:rsidR="00686072" w:rsidRPr="00DC341F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6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 w:rsidR="00686072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686072" w:rsidRPr="00DC341F">
              <w:rPr>
                <w:rFonts w:asciiTheme="minorHAnsi" w:hAnsiTheme="minorHAnsi" w:cs="Arial"/>
                <w:sz w:val="20"/>
                <w:szCs w:val="20"/>
                <w:lang w:val="es-CO"/>
              </w:rPr>
              <w:t>Sistemas de estímulos y créditos para estudiantes</w:t>
            </w:r>
          </w:p>
          <w:p w:rsidR="00686072" w:rsidRPr="00487157" w:rsidRDefault="00487157" w:rsidP="00487157">
            <w:pPr>
              <w:spacing w:line="0" w:lineRule="atLeast"/>
              <w:ind w:firstLine="492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8715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</w:t>
            </w:r>
            <w:r w:rsidRPr="0048715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A. </w:t>
            </w:r>
            <w:r w:rsidR="00686072" w:rsidRPr="00487157">
              <w:rPr>
                <w:rFonts w:asciiTheme="minorHAnsi" w:hAnsiTheme="minorHAnsi" w:cs="Arial"/>
                <w:sz w:val="20"/>
                <w:szCs w:val="20"/>
                <w:lang w:val="es-CO"/>
              </w:rPr>
              <w:t>Cumplimiento transparente de los criterios para asignación de los apoyos estudiantiles.</w:t>
            </w:r>
          </w:p>
          <w:p w:rsidR="00686072" w:rsidRDefault="00487157" w:rsidP="00487157">
            <w:pPr>
              <w:spacing w:line="0" w:lineRule="atLeast"/>
              <w:ind w:left="492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8439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</w:t>
            </w:r>
            <w:r w:rsidRPr="00DC341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686072" w:rsidRPr="00DC341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D.</w:t>
            </w:r>
            <w:r w:rsidR="00686072" w:rsidRPr="00686072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686072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 </w:t>
            </w:r>
            <w:r w:rsidR="00686072" w:rsidRPr="00686072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Eficiente aplicación de sistemas de estímulo a través de programas tales como monitorias, asistencia </w:t>
            </w:r>
            <w:r w:rsidR="00686072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   </w:t>
            </w:r>
            <w:r w:rsidR="00686072" w:rsidRPr="00686072">
              <w:rPr>
                <w:rFonts w:asciiTheme="minorHAnsi" w:hAnsiTheme="minorHAnsi" w:cs="Arial"/>
                <w:sz w:val="20"/>
                <w:szCs w:val="20"/>
                <w:lang w:val="es-CO"/>
              </w:rPr>
              <w:t>de investigación, matrícula de honor, condonación de créditos, entre otros.</w:t>
            </w:r>
          </w:p>
          <w:p w:rsidR="00614F6E" w:rsidRDefault="00614F6E" w:rsidP="00686072">
            <w:pPr>
              <w:spacing w:line="0" w:lineRule="atLeast"/>
              <w:ind w:left="492" w:hanging="283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614F6E" w:rsidRPr="00787881" w:rsidRDefault="00614F6E" w:rsidP="00614F6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3</w:t>
            </w:r>
            <w:r w:rsidR="00DC341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  <w:r w:rsidRPr="00DC341F">
              <w:rPr>
                <w:rFonts w:asciiTheme="minorHAnsi" w:hAnsiTheme="minorHAnsi" w:cs="Arial"/>
                <w:sz w:val="20"/>
                <w:szCs w:val="20"/>
                <w:lang w:val="es-CO"/>
              </w:rPr>
              <w:t>PROFESORES</w:t>
            </w:r>
          </w:p>
          <w:p w:rsidR="00614F6E" w:rsidRDefault="00DC341F" w:rsidP="00614F6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DC341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    </w:t>
            </w:r>
            <w:r w:rsidRPr="00DC341F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 xml:space="preserve">Característica </w:t>
            </w:r>
            <w:r w:rsidR="00614F6E" w:rsidRPr="00DC341F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8</w:t>
            </w:r>
            <w:r w:rsidRPr="00DC341F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.</w:t>
            </w:r>
            <w:r w:rsidR="00614F6E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614F6E" w:rsidRPr="00DC341F">
              <w:rPr>
                <w:rFonts w:asciiTheme="minorHAnsi" w:hAnsiTheme="minorHAnsi" w:cs="Arial"/>
                <w:sz w:val="20"/>
                <w:szCs w:val="20"/>
                <w:lang w:val="es-CO"/>
              </w:rPr>
              <w:t>Planta profesoral</w:t>
            </w:r>
          </w:p>
          <w:p w:rsidR="00121571" w:rsidRPr="00121571" w:rsidRDefault="00DC341F" w:rsidP="00487157">
            <w:pPr>
              <w:spacing w:line="0" w:lineRule="atLeast"/>
              <w:ind w:left="492" w:hanging="492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        </w:t>
            </w:r>
            <w:r w:rsidR="0048715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Aspecto </w:t>
            </w:r>
            <w:r w:rsidR="00121571" w:rsidRPr="00DC341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A.</w:t>
            </w:r>
            <w:r w:rsidR="0048715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121571" w:rsidRPr="00121571">
              <w:rPr>
                <w:rFonts w:asciiTheme="minorHAnsi" w:hAnsiTheme="minorHAnsi" w:cs="Arial"/>
                <w:sz w:val="20"/>
                <w:szCs w:val="20"/>
                <w:lang w:val="es-CO"/>
              </w:rPr>
              <w:t>Suficiencia del cuerpo profesoral para el cumplimiento de las funciones misionales de la institución.</w:t>
            </w:r>
          </w:p>
          <w:p w:rsidR="00614F6E" w:rsidRPr="00686072" w:rsidRDefault="00614F6E" w:rsidP="00686072">
            <w:pPr>
              <w:spacing w:line="0" w:lineRule="atLeast"/>
              <w:ind w:left="492" w:hanging="283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FD44F7" w:rsidRPr="00787881" w:rsidRDefault="00FD44F7" w:rsidP="00FD44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="00DC341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5. </w:t>
            </w:r>
            <w:r w:rsidR="006A3354" w:rsidRPr="00DC341F">
              <w:rPr>
                <w:rFonts w:asciiTheme="minorHAnsi" w:hAnsiTheme="minorHAnsi" w:cs="Arial"/>
                <w:sz w:val="20"/>
                <w:szCs w:val="20"/>
                <w:lang w:val="es-CO"/>
              </w:rPr>
              <w:t>VISIBILIDAD NACIONAL</w:t>
            </w:r>
            <w:r w:rsidRPr="00DC341F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E INTERNACIONAL</w:t>
            </w:r>
          </w:p>
          <w:p w:rsidR="00FD44F7" w:rsidRPr="00DC341F" w:rsidRDefault="00DC341F" w:rsidP="00FD44F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   </w:t>
            </w:r>
            <w:r w:rsidRPr="00DC341F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 xml:space="preserve">Característica </w:t>
            </w:r>
            <w:r w:rsidR="00FD44F7" w:rsidRPr="00DC341F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16</w:t>
            </w:r>
            <w:r w:rsidRPr="00DC341F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FD44F7" w:rsidRPr="00DC341F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Relaciones </w:t>
            </w:r>
            <w:r w:rsidR="006A3354" w:rsidRPr="00DC341F">
              <w:rPr>
                <w:rFonts w:asciiTheme="minorHAnsi" w:hAnsiTheme="minorHAnsi" w:cs="Arial"/>
                <w:sz w:val="20"/>
                <w:szCs w:val="20"/>
                <w:lang w:val="es-CO"/>
              </w:rPr>
              <w:t>externas de</w:t>
            </w:r>
            <w:r w:rsidR="00FD44F7" w:rsidRPr="00DC341F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profesores y estudiantes</w:t>
            </w:r>
          </w:p>
          <w:p w:rsidR="006A3354" w:rsidRDefault="00DC341F" w:rsidP="0048715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       </w:t>
            </w:r>
            <w:r w:rsidR="00487157" w:rsidRPr="0048439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</w:t>
            </w:r>
            <w:r w:rsidR="00487157" w:rsidRPr="00FD44F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FD44F7" w:rsidRPr="00FD44F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G. </w:t>
            </w:r>
            <w:r w:rsidR="00FD44F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 </w:t>
            </w:r>
            <w:r w:rsidR="00FD44F7" w:rsidRPr="00FD44F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Presupuesto ejecutado en proyectos de movilidad en doble vía en los últimos cinco años.  </w:t>
            </w:r>
          </w:p>
          <w:p w:rsidR="00DC341F" w:rsidRDefault="00DC341F" w:rsidP="006A335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:rsidR="006A3354" w:rsidRPr="00787881" w:rsidRDefault="006A3354" w:rsidP="006A335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6</w:t>
            </w:r>
            <w:r w:rsidR="00DC341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  <w:r w:rsidRPr="00DC341F">
              <w:rPr>
                <w:rFonts w:asciiTheme="minorHAnsi" w:hAnsiTheme="minorHAnsi" w:cs="Arial"/>
                <w:sz w:val="20"/>
                <w:szCs w:val="20"/>
                <w:lang w:val="es-CO"/>
              </w:rPr>
              <w:t>INVESTIGACIÓN Y CREACIÓN ARTÍSTICA</w:t>
            </w:r>
          </w:p>
          <w:p w:rsidR="006A3354" w:rsidRDefault="00DC341F" w:rsidP="006A3354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 </w:t>
            </w:r>
            <w:r w:rsidRPr="00DC341F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 xml:space="preserve">Característica </w:t>
            </w:r>
            <w:r w:rsidR="00070E79" w:rsidRPr="00DC341F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18</w:t>
            </w:r>
            <w:r w:rsidRPr="00DC341F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070E79" w:rsidRPr="00DC341F">
              <w:rPr>
                <w:rFonts w:asciiTheme="minorHAnsi" w:hAnsiTheme="minorHAnsi" w:cs="Arial"/>
                <w:sz w:val="20"/>
                <w:szCs w:val="20"/>
                <w:lang w:val="es-CO"/>
              </w:rPr>
              <w:t>Investigación</w:t>
            </w:r>
          </w:p>
          <w:p w:rsidR="00070E79" w:rsidRPr="00FD44F7" w:rsidRDefault="00DC341F" w:rsidP="0048715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     </w:t>
            </w:r>
            <w:r w:rsidR="00487157" w:rsidRPr="0048439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</w:t>
            </w:r>
            <w:r w:rsidR="00487157" w:rsidRPr="00DC341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070E79" w:rsidRPr="00DC341F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D.</w:t>
            </w:r>
            <w:r w:rsidR="00070E79" w:rsidRPr="00070E7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070E7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 </w:t>
            </w:r>
            <w:r w:rsidR="008E56CE" w:rsidRPr="00070E79">
              <w:rPr>
                <w:rFonts w:asciiTheme="minorHAnsi" w:hAnsiTheme="minorHAnsi" w:cs="Arial"/>
                <w:sz w:val="20"/>
                <w:szCs w:val="20"/>
                <w:lang w:val="es-CO"/>
              </w:rPr>
              <w:t>Estabilidad de</w:t>
            </w:r>
            <w:r w:rsidR="00070E79" w:rsidRPr="00070E7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las unidades de investigación y de los investigadores.</w:t>
            </w:r>
          </w:p>
          <w:p w:rsidR="000C651D" w:rsidRDefault="000C651D" w:rsidP="00070E79">
            <w:pPr>
              <w:spacing w:line="0" w:lineRule="atLeast"/>
              <w:ind w:firstLine="209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8E56CE" w:rsidRPr="00787881" w:rsidRDefault="008E56CE" w:rsidP="008E56C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FACTOR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9</w:t>
            </w:r>
            <w:r w:rsidR="00DC341F" w:rsidRPr="00D93B13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.</w:t>
            </w:r>
            <w:r w:rsidRPr="00D93B13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Pr="00D93B13">
              <w:rPr>
                <w:rFonts w:asciiTheme="minorHAnsi" w:hAnsiTheme="minorHAnsi" w:cs="Arial"/>
                <w:sz w:val="20"/>
                <w:szCs w:val="20"/>
                <w:lang w:val="es-CO"/>
              </w:rPr>
              <w:t>BIENESTAR INSTITUCIONAL</w:t>
            </w:r>
          </w:p>
          <w:p w:rsidR="008E56CE" w:rsidRDefault="00D93B13" w:rsidP="008E56C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  </w:t>
            </w:r>
            <w:r w:rsidRPr="00D93B13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 xml:space="preserve">Característica </w:t>
            </w:r>
            <w:r w:rsidR="008E56CE" w:rsidRPr="00D93B13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18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. </w:t>
            </w:r>
            <w:r w:rsidR="008E56CE" w:rsidRPr="00D93B13">
              <w:rPr>
                <w:rFonts w:asciiTheme="minorHAnsi" w:hAnsiTheme="minorHAnsi" w:cs="Arial"/>
                <w:sz w:val="20"/>
                <w:szCs w:val="20"/>
                <w:lang w:val="es-CO"/>
              </w:rPr>
              <w:t>Investigación</w:t>
            </w:r>
          </w:p>
          <w:p w:rsidR="008E56CE" w:rsidRPr="008E56CE" w:rsidRDefault="00D93B13" w:rsidP="00487157">
            <w:pPr>
              <w:spacing w:line="0" w:lineRule="atLeast"/>
              <w:ind w:left="492" w:hanging="425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       </w:t>
            </w:r>
            <w:r w:rsidR="00487157" w:rsidRPr="0048439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</w:t>
            </w:r>
            <w:r w:rsidR="0048715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C.</w:t>
            </w:r>
            <w:r w:rsidR="00487157" w:rsidRPr="008E56CE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487157">
              <w:rPr>
                <w:rFonts w:asciiTheme="minorHAnsi" w:hAnsiTheme="minorHAnsi" w:cs="Arial"/>
                <w:sz w:val="20"/>
                <w:szCs w:val="20"/>
                <w:lang w:val="es-CO"/>
              </w:rPr>
              <w:t>R</w:t>
            </w:r>
            <w:r w:rsidR="00487157" w:rsidRPr="0048715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e</w:t>
            </w:r>
            <w:r w:rsidR="00487157" w:rsidRPr="008E56CE">
              <w:rPr>
                <w:rFonts w:asciiTheme="minorHAnsi" w:hAnsiTheme="minorHAnsi" w:cs="Arial"/>
                <w:sz w:val="20"/>
                <w:szCs w:val="20"/>
                <w:lang w:val="es-CO"/>
              </w:rPr>
              <w:t>cursos</w:t>
            </w:r>
            <w:r w:rsidR="008E56CE" w:rsidRPr="008E56CE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humanos provistos y financieros ejecutados por la institución para garantizar un óptimo    desarrollo de los programas de bienestar universitario.</w:t>
            </w:r>
          </w:p>
          <w:p w:rsidR="00FD44F7" w:rsidRDefault="00FD44F7" w:rsidP="008E56CE">
            <w:pPr>
              <w:spacing w:line="0" w:lineRule="atLeast"/>
              <w:ind w:firstLine="209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1129B7" w:rsidRPr="00787881" w:rsidRDefault="001129B7" w:rsidP="001129B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="00D93B13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10. </w:t>
            </w:r>
            <w:r w:rsidRPr="00D93B13">
              <w:rPr>
                <w:rFonts w:asciiTheme="minorHAnsi" w:hAnsiTheme="minorHAnsi" w:cs="Arial"/>
                <w:sz w:val="20"/>
                <w:szCs w:val="20"/>
                <w:lang w:val="es-CO"/>
              </w:rPr>
              <w:t>ORGANIZACIÓN, GESTIÓN Y ADMINISTRACIÓN</w:t>
            </w:r>
          </w:p>
          <w:p w:rsidR="001129B7" w:rsidRDefault="00D93B13" w:rsidP="001129B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   </w:t>
            </w:r>
            <w:r w:rsidRPr="00C818DD">
              <w:rPr>
                <w:rFonts w:asciiTheme="minorHAnsi" w:hAnsiTheme="minorHAnsi" w:cs="Arial"/>
                <w:b/>
                <w:sz w:val="20"/>
                <w:szCs w:val="20"/>
                <w:u w:val="single"/>
                <w:lang w:val="es-CO"/>
              </w:rPr>
              <w:t>Característica 25.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1129B7" w:rsidRPr="00D93B13">
              <w:rPr>
                <w:rFonts w:asciiTheme="minorHAnsi" w:hAnsiTheme="minorHAnsi" w:cs="Arial"/>
                <w:sz w:val="20"/>
                <w:szCs w:val="20"/>
                <w:lang w:val="es-CO"/>
              </w:rPr>
              <w:t>Administración y gestión</w:t>
            </w:r>
          </w:p>
          <w:p w:rsidR="00FD44F7" w:rsidRPr="00DA2531" w:rsidRDefault="00D93B13" w:rsidP="00487157">
            <w:pPr>
              <w:spacing w:line="0" w:lineRule="atLeast"/>
              <w:ind w:left="492" w:hanging="492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         </w:t>
            </w:r>
            <w:r w:rsidR="00487157" w:rsidRPr="0048439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</w:t>
            </w:r>
            <w:r w:rsidR="00487157" w:rsidRPr="00DA253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48715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A. </w:t>
            </w:r>
            <w:r w:rsidR="001129B7" w:rsidRPr="00DA253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Existencia de mecanismos que permitan conocer y satisfacer las necesidades académicas </w:t>
            </w:r>
            <w:r w:rsidR="00487157" w:rsidRPr="00DA2531">
              <w:rPr>
                <w:rFonts w:asciiTheme="minorHAnsi" w:hAnsiTheme="minorHAnsi" w:cs="Arial"/>
                <w:sz w:val="20"/>
                <w:szCs w:val="20"/>
                <w:lang w:val="es-CO"/>
              </w:rPr>
              <w:t>y administrativas</w:t>
            </w:r>
            <w:r w:rsidR="001129B7" w:rsidRPr="00DA253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de las distintas unidades en la institución.</w:t>
            </w:r>
          </w:p>
          <w:p w:rsidR="00DA2531" w:rsidRPr="00DA2531" w:rsidRDefault="00487157" w:rsidP="00487157">
            <w:pPr>
              <w:spacing w:line="0" w:lineRule="atLeast"/>
              <w:ind w:left="492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8439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</w:t>
            </w:r>
            <w:r w:rsidRPr="00D93B13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DA2531" w:rsidRPr="00D93B13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D.</w:t>
            </w:r>
            <w:r w:rsidR="00DA2531" w:rsidRPr="00DA253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DA253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DA2531" w:rsidRPr="00DA2531">
              <w:rPr>
                <w:rFonts w:asciiTheme="minorHAnsi" w:hAnsiTheme="minorHAnsi" w:cs="Arial"/>
                <w:sz w:val="20"/>
                <w:szCs w:val="20"/>
                <w:lang w:val="es-CO"/>
              </w:rPr>
              <w:t>Coherencia de la estructura y función de la administración con la naturaleza y complejidad de sus</w:t>
            </w:r>
            <w:r w:rsidR="00DA2531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DA2531" w:rsidRPr="00DA2531">
              <w:rPr>
                <w:rFonts w:asciiTheme="minorHAnsi" w:hAnsiTheme="minorHAnsi" w:cs="Arial"/>
                <w:sz w:val="20"/>
                <w:szCs w:val="20"/>
                <w:lang w:val="es-CO"/>
              </w:rPr>
              <w:t>procesos académicos.</w:t>
            </w:r>
          </w:p>
          <w:p w:rsidR="00FD44F7" w:rsidRDefault="00FD44F7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731305" w:rsidRPr="00787881" w:rsidRDefault="00731305" w:rsidP="00731305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FACTOR </w:t>
            </w:r>
            <w:r w:rsidR="00C818D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12.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RECURSOS FINANCIEROS</w:t>
            </w:r>
          </w:p>
          <w:p w:rsidR="00731305" w:rsidRDefault="00C818DD" w:rsidP="0073130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 </w:t>
            </w:r>
            <w:r w:rsidRPr="00787881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Característica 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30. </w:t>
            </w:r>
            <w:r w:rsidR="00731305" w:rsidRPr="00C818DD">
              <w:rPr>
                <w:rFonts w:asciiTheme="minorHAnsi" w:hAnsiTheme="minorHAnsi" w:cs="Arial"/>
                <w:sz w:val="20"/>
                <w:szCs w:val="20"/>
                <w:lang w:val="es-CO"/>
              </w:rPr>
              <w:t>Recursos, presupuesto y gestión financiera</w:t>
            </w:r>
          </w:p>
          <w:p w:rsidR="00731305" w:rsidRPr="00731305" w:rsidRDefault="00C818DD" w:rsidP="00487157">
            <w:pPr>
              <w:spacing w:line="0" w:lineRule="atLeast"/>
              <w:ind w:left="351" w:hanging="351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        </w:t>
            </w:r>
            <w:r w:rsidR="00487157" w:rsidRPr="0048715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 B.</w:t>
            </w:r>
            <w:r w:rsidR="00487157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731305" w:rsidRPr="00731305">
              <w:rPr>
                <w:rFonts w:asciiTheme="minorHAnsi" w:hAnsiTheme="minorHAnsi" w:cs="Arial"/>
                <w:sz w:val="20"/>
                <w:szCs w:val="20"/>
                <w:lang w:val="es-CO"/>
              </w:rPr>
              <w:t>Estabilidad y solidez financiera que garantice el cumplimiento, a mediano plazo, de las acciones propuestas en el plan de desarrollo institucional.</w:t>
            </w:r>
          </w:p>
          <w:p w:rsidR="00731305" w:rsidRPr="006C1B6B" w:rsidRDefault="00487157" w:rsidP="00487157">
            <w:pPr>
              <w:spacing w:line="0" w:lineRule="atLeast"/>
              <w:ind w:left="351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8439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</w:t>
            </w:r>
            <w:r w:rsidRPr="00C818D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731305" w:rsidRPr="00C818D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C.</w:t>
            </w:r>
            <w:r w:rsidR="00731305" w:rsidRPr="006C1B6B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73130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 </w:t>
            </w:r>
            <w:r w:rsidR="00731305" w:rsidRPr="006C1B6B">
              <w:rPr>
                <w:rFonts w:asciiTheme="minorHAnsi" w:hAnsiTheme="minorHAnsi" w:cs="Arial"/>
                <w:sz w:val="20"/>
                <w:szCs w:val="20"/>
                <w:lang w:val="es-CO"/>
              </w:rPr>
              <w:t>Políticas y estrategias para la asignación, ejecución y evaluac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ión presupuestal y de ejecución </w:t>
            </w:r>
            <w:r w:rsidR="00731305" w:rsidRPr="006C1B6B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financiera en atención al cumplimiento del Proyecto Educativo Institucional y el logro de las metas del plan de desarrollo institucional. </w:t>
            </w:r>
          </w:p>
          <w:p w:rsidR="00731305" w:rsidRPr="006C1B6B" w:rsidRDefault="00487157" w:rsidP="00487157">
            <w:pPr>
              <w:pStyle w:val="Prrafodelista"/>
              <w:spacing w:line="0" w:lineRule="atLeast"/>
              <w:ind w:left="351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48439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Aspecto</w:t>
            </w:r>
            <w:r w:rsidRPr="00C818D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</w:t>
            </w:r>
            <w:r w:rsidR="00731305" w:rsidRPr="00C818DD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F.</w:t>
            </w:r>
            <w:r w:rsidR="00731305" w:rsidRPr="006C1B6B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Cumplimiento de los requerimientos presupuestales que se desprenden del proyecto institucional y de las actividades académicas y de bienestar.         </w:t>
            </w:r>
          </w:p>
          <w:p w:rsidR="00FD44F7" w:rsidRPr="00787881" w:rsidRDefault="00FD44F7" w:rsidP="00731305">
            <w:pPr>
              <w:spacing w:line="0" w:lineRule="atLeast"/>
              <w:ind w:left="634" w:hanging="283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EA0513">
        <w:trPr>
          <w:trHeight w:val="1061"/>
          <w:jc w:val="center"/>
        </w:trPr>
        <w:tc>
          <w:tcPr>
            <w:tcW w:w="8830" w:type="dxa"/>
            <w:gridSpan w:val="5"/>
            <w:vAlign w:val="center"/>
          </w:tcPr>
          <w:p w:rsidR="00E8012E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lastRenderedPageBreak/>
              <w:t xml:space="preserve">Periodicidad de medición: </w:t>
            </w:r>
          </w:p>
          <w:p w:rsidR="00CC14C1" w:rsidRPr="00504025" w:rsidRDefault="00CC14C1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53" w:type="dxa"/>
                </w:tcPr>
                <w:p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:rsidR="00E8012E" w:rsidRPr="00504025" w:rsidRDefault="00CC14C1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CC14C1" w:rsidRDefault="00E8012E" w:rsidP="00CC14C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  <w:p w:rsidR="00CC14C1" w:rsidRDefault="00CC14C1" w:rsidP="00CC14C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E8012E" w:rsidRDefault="00CC14C1" w:rsidP="00CC14C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CC14C1">
              <w:rPr>
                <w:rFonts w:asciiTheme="minorHAnsi" w:hAnsiTheme="minorHAnsi" w:cs="Arial"/>
                <w:sz w:val="20"/>
                <w:szCs w:val="20"/>
                <w:lang w:val="es-CO"/>
              </w:rPr>
              <w:t>Acuerdo del Consejo Superior mediante el cual se aprueba el presupuesto de ingresos y gastos para la vigencia fiscal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.</w:t>
            </w:r>
          </w:p>
          <w:p w:rsidR="00FE3243" w:rsidRDefault="00FE3243" w:rsidP="00CC14C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CC14C1" w:rsidRDefault="00CC14C1" w:rsidP="00CC14C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>Anteproyecto de presupuesto para la vigencia fiscal.</w:t>
            </w:r>
          </w:p>
          <w:p w:rsidR="00487157" w:rsidRPr="00504025" w:rsidRDefault="00487157" w:rsidP="00CC14C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FE3243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Administrativa y Financiera</w:t>
            </w:r>
            <w:r w:rsidRPr="00D95F71"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  <w:t xml:space="preserve"> </w:t>
            </w:r>
          </w:p>
        </w:tc>
      </w:tr>
      <w:tr w:rsidR="00E8012E" w:rsidRPr="00504025" w:rsidTr="00B05843">
        <w:trPr>
          <w:trHeight w:val="397"/>
          <w:jc w:val="center"/>
        </w:trPr>
        <w:tc>
          <w:tcPr>
            <w:tcW w:w="8830" w:type="dxa"/>
            <w:gridSpan w:val="5"/>
            <w:vAlign w:val="center"/>
          </w:tcPr>
          <w:p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Vicerrectoría Administrativa y Financiera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</w:p>
        </w:tc>
      </w:tr>
    </w:tbl>
    <w:p w:rsidR="00E8012E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487157" w:rsidRDefault="00487157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487157" w:rsidRDefault="00487157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487157" w:rsidRDefault="00487157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487157" w:rsidRDefault="00487157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487157" w:rsidRDefault="00487157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487157" w:rsidRPr="00504025" w:rsidRDefault="00487157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lastRenderedPageBreak/>
        <w:t>Glosario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30"/>
      </w:tblGrid>
      <w:tr w:rsidR="00E8012E" w:rsidRPr="00504025" w:rsidTr="00D6274A">
        <w:trPr>
          <w:trHeight w:val="397"/>
        </w:trPr>
        <w:tc>
          <w:tcPr>
            <w:tcW w:w="8988" w:type="dxa"/>
            <w:vAlign w:val="center"/>
          </w:tcPr>
          <w:p w:rsidR="00182ACD" w:rsidRDefault="00182ACD" w:rsidP="00D241CD">
            <w:pPr>
              <w:spacing w:line="0" w:lineRule="atLeast"/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</w:pPr>
          </w:p>
          <w:p w:rsidR="00E8012E" w:rsidRDefault="00182ACD" w:rsidP="00D241CD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</w:rPr>
              <w:t>Funcionamiento</w:t>
            </w:r>
            <w:r w:rsidR="00E8012E" w:rsidRPr="00CD44D0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: </w:t>
            </w:r>
            <w:r w:rsidR="00E8012E" w:rsidRPr="00CD44D0">
              <w:rPr>
                <w:rFonts w:asciiTheme="minorHAnsi" w:hAnsiTheme="minorHAnsi"/>
                <w:sz w:val="20"/>
                <w:szCs w:val="20"/>
                <w:lang w:val="es-CO"/>
              </w:rPr>
              <w:t> 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>Actividades misionales, administrativas, técnicas y oper</w:t>
            </w:r>
            <w:r w:rsidR="00F23655">
              <w:rPr>
                <w:rFonts w:asciiTheme="minorHAnsi" w:hAnsiTheme="minorHAnsi"/>
                <w:sz w:val="20"/>
                <w:szCs w:val="20"/>
                <w:lang w:val="es-CO"/>
              </w:rPr>
              <w:t xml:space="preserve">ativas que se requieren para la operación </w:t>
            </w:r>
            <w:r>
              <w:rPr>
                <w:rFonts w:asciiTheme="minorHAnsi" w:hAnsiTheme="minorHAnsi"/>
                <w:sz w:val="20"/>
                <w:szCs w:val="20"/>
                <w:lang w:val="es-CO"/>
              </w:rPr>
              <w:t xml:space="preserve">de la Universidad Tecnológica de Pereira y que están clasificados en gastos de personal, gastos generales, transferencias y gastos de operación comercial. </w:t>
            </w:r>
          </w:p>
          <w:p w:rsidR="005E2B71" w:rsidRDefault="005E2B71" w:rsidP="00D241CD">
            <w:pPr>
              <w:spacing w:line="0" w:lineRule="atLeast"/>
              <w:rPr>
                <w:rFonts w:asciiTheme="minorHAnsi" w:hAnsiTheme="minorHAnsi"/>
                <w:sz w:val="20"/>
                <w:szCs w:val="20"/>
                <w:lang w:val="es-CO"/>
              </w:rPr>
            </w:pPr>
          </w:p>
          <w:p w:rsidR="005E2B71" w:rsidRPr="000248FA" w:rsidRDefault="005E2B71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s-CO"/>
              </w:rPr>
              <w:t xml:space="preserve">Presupuesto: </w:t>
            </w:r>
            <w:r w:rsidR="000248FA" w:rsidRPr="000248FA">
              <w:rPr>
                <w:rFonts w:asciiTheme="minorHAnsi" w:hAnsiTheme="minorHAnsi"/>
                <w:sz w:val="20"/>
                <w:szCs w:val="20"/>
                <w:lang w:val="es-CO"/>
              </w:rPr>
              <w:t>Es la herramienta de planificación financiera que se espera ejecutar en la vigencia y mediante el cual la Universidad estima el conjunto de ingresos de los que dispondrá en la vigencia fiscal para atender las necesidades del gasto y cumplir con su objeto misional.</w:t>
            </w:r>
          </w:p>
          <w:p w:rsidR="00E8012E" w:rsidRPr="00504025" w:rsidRDefault="00E8012E" w:rsidP="003E390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:rsidTr="000473A1">
              <w:trPr>
                <w:jc w:val="center"/>
              </w:trPr>
              <w:tc>
                <w:tcPr>
                  <w:tcW w:w="1194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5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:rsidR="00CC510B" w:rsidRDefault="00CC510B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CC510B" w:rsidRDefault="00CC510B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Arial"/>
                    <w:sz w:val="20"/>
                    <w:szCs w:val="20"/>
                  </w:rPr>
                  <m:t>Capacidad de financiación=</m:t>
                </m:r>
                <m:f>
                  <m:fPr>
                    <m:ctrlPr>
                      <w:rPr>
                        <w:rFonts w:ascii="Cambria Math" w:hAnsi="Cambria Math" w:cs="Arial"/>
                        <w:b/>
                        <w:i/>
                        <w:sz w:val="20"/>
                        <w:szCs w:val="20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Presupuesto aprobado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0"/>
                        <w:szCs w:val="20"/>
                      </w:rPr>
                      <m:t>Necesidades de finaciación funcionamiento</m:t>
                    </m:r>
                  </m:den>
                </m:f>
              </m:oMath>
            </m:oMathPara>
          </w:p>
          <w:p w:rsidR="00E8012E" w:rsidRPr="00CF29F3" w:rsidRDefault="00E8012E" w:rsidP="00CC510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:rsidR="001B0503" w:rsidRDefault="001B0503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1B0503" w:rsidRDefault="001B0503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El valor del presupuesto aprobado corresponde al valor únicamente del presupuesto de funcionamiento sin tener en cuenta Operación Comercial</w:t>
            </w:r>
            <w:r w:rsidR="00752510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  <w:p w:rsidR="001B0503" w:rsidRDefault="001B0503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1B0503" w:rsidRDefault="001B0503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El valor de las necesidades de financiación funcionamiento corresponde al valor únicamente de las necesidades recopiladas durante el ejercicio del anteproyecto de presupuesto sin tener en cuenta Operación Comercial.</w:t>
            </w:r>
          </w:p>
          <w:p w:rsidR="001B0503" w:rsidRDefault="001B0503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  <w:p w:rsidR="00E8012E" w:rsidRPr="00D47949" w:rsidRDefault="001B0503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F23655">
              <w:rPr>
                <w:rFonts w:asciiTheme="minorHAnsi" w:hAnsiTheme="minorHAnsi" w:cs="Arial"/>
                <w:b/>
                <w:sz w:val="20"/>
                <w:szCs w:val="20"/>
              </w:rPr>
              <w:t>Nota: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Este indicador sólo tiene una medición que se hace al inicio del año por tanto durante la vigencia no tiene movimientos adicionales.</w:t>
            </w: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487157" w:rsidRDefault="00487157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p w:rsidR="00E8012E" w:rsidRDefault="00E8012E" w:rsidP="002114F6">
            <w:pPr>
              <w:spacing w:line="0" w:lineRule="atLeast"/>
              <w:rPr>
                <w:rFonts w:asciiTheme="minorHAnsi" w:hAnsiTheme="minorHAnsi" w:cs="Arial"/>
                <w:color w:val="FF0000"/>
                <w:sz w:val="20"/>
                <w:szCs w:val="20"/>
                <w:highlight w:val="yellow"/>
                <w:lang w:val="es-CO"/>
              </w:rPr>
            </w:pPr>
          </w:p>
          <w:p w:rsidR="0052737B" w:rsidRDefault="00E8012E" w:rsidP="0052737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C132FA">
              <w:rPr>
                <w:rFonts w:asciiTheme="minorHAnsi" w:hAnsiTheme="minorHAnsi" w:cs="Arial"/>
                <w:noProof/>
                <w:sz w:val="20"/>
                <w:szCs w:val="20"/>
              </w:rPr>
              <w:t>Anteproyecto de presupuesto de cada vigencia</w:t>
            </w:r>
            <w:r w:rsidR="0052737B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: </w:t>
            </w:r>
            <w:r w:rsidR="0052737B">
              <w:rPr>
                <w:rFonts w:asciiTheme="minorHAnsi" w:hAnsiTheme="minorHAnsi" w:cs="Arial"/>
                <w:sz w:val="20"/>
                <w:szCs w:val="20"/>
                <w:lang w:val="es-CO"/>
              </w:rPr>
              <w:t>Información que reposa en el computador del funcionario de enlace de la Vicerrectoría Administrativa y Financiera.</w:t>
            </w:r>
          </w:p>
          <w:p w:rsidR="0052737B" w:rsidRDefault="0052737B" w:rsidP="0052737B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:rsidR="00E8012E" w:rsidRDefault="0052737B" w:rsidP="00DF21E6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  <w:r w:rsidRPr="00CC14C1">
              <w:rPr>
                <w:rFonts w:asciiTheme="minorHAnsi" w:hAnsiTheme="minorHAnsi" w:cs="Arial"/>
                <w:sz w:val="20"/>
                <w:szCs w:val="20"/>
                <w:lang w:val="es-CO"/>
              </w:rPr>
              <w:t>Acuerdo del Consejo Superior mediante el cual se aprueba el p</w:t>
            </w:r>
            <w:r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resupuesto de ingresos y gastos: Documento que se puede consultar en el siguiente link </w:t>
            </w:r>
            <w:hyperlink r:id="rId7" w:history="1">
              <w:r w:rsidRPr="0052737B">
                <w:rPr>
                  <w:rStyle w:val="Hipervnculo"/>
                  <w:rFonts w:ascii="Times New Roman" w:hAnsi="Times New Roman" w:cs="Times New Roman"/>
                  <w:sz w:val="16"/>
                  <w:szCs w:val="16"/>
                </w:rPr>
                <w:t>https://www.utp.edu.co/vicerrectoria/administrativa/presupuesto-aprobado.html</w:t>
              </w:r>
            </w:hyperlink>
            <w:r w:rsidRPr="0052737B">
              <w:rPr>
                <w:rFonts w:asciiTheme="minorHAnsi" w:hAnsiTheme="minorHAnsi" w:cs="Arial"/>
                <w:sz w:val="16"/>
                <w:szCs w:val="16"/>
                <w:lang w:val="es-CO"/>
              </w:rPr>
              <w:t>.</w:t>
            </w:r>
          </w:p>
          <w:p w:rsidR="00487157" w:rsidRPr="00FD05FF" w:rsidRDefault="00487157" w:rsidP="00DF21E6">
            <w:pPr>
              <w:spacing w:line="0" w:lineRule="atLeast"/>
              <w:rPr>
                <w:rFonts w:asciiTheme="minorHAnsi" w:hAnsiTheme="minorHAnsi" w:cs="Arial"/>
                <w:sz w:val="16"/>
                <w:szCs w:val="16"/>
                <w:lang w:val="es-CO"/>
              </w:rPr>
            </w:pPr>
          </w:p>
        </w:tc>
      </w:tr>
      <w:tr w:rsidR="00E8012E" w:rsidRPr="00504025" w:rsidTr="009F5809">
        <w:trPr>
          <w:trHeight w:val="397"/>
        </w:trPr>
        <w:tc>
          <w:tcPr>
            <w:tcW w:w="8988" w:type="dxa"/>
            <w:vAlign w:val="center"/>
          </w:tcPr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lastRenderedPageBreak/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p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  <w:p w:rsidR="00E8012E" w:rsidRDefault="00754F03" w:rsidP="001D5D9A">
            <w:pPr>
              <w:spacing w:line="0" w:lineRule="atLeast"/>
              <w:jc w:val="center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754F03">
              <w:rPr>
                <w:rFonts w:asciiTheme="minorHAnsi" w:hAnsiTheme="minorHAnsi" w:cs="Arial"/>
                <w:b/>
                <w:noProof/>
                <w:sz w:val="20"/>
                <w:szCs w:val="20"/>
                <w:lang w:val="es-CO" w:eastAsia="es-CO"/>
              </w:rPr>
              <w:drawing>
                <wp:inline distT="0" distB="0" distL="0" distR="0" wp14:anchorId="2B8DB9C9" wp14:editId="353E850D">
                  <wp:extent cx="3858532" cy="2276475"/>
                  <wp:effectExtent l="0" t="0" r="8890" b="0"/>
                  <wp:docPr id="4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144" cy="2283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D5D9A" w:rsidRPr="00504025" w:rsidRDefault="001D5D9A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:rsidR="00E8012E" w:rsidRDefault="00E8012E" w:rsidP="00333FE8">
      <w:pPr>
        <w:pStyle w:val="Prrafodelista"/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487157" w:rsidRDefault="00487157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487157" w:rsidRDefault="00487157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</w:p>
    <w:p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Fernando Noreña Jaramillo</w:t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</w:p>
    <w:p w:rsidR="00E8012E" w:rsidRDefault="00E8012E">
      <w:pPr>
        <w:widowControl/>
        <w:adjustRightInd/>
        <w:spacing w:line="240" w:lineRule="auto"/>
        <w:jc w:val="left"/>
        <w:textAlignment w:val="auto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:rsidR="00E8012E" w:rsidRDefault="00E8012E" w:rsidP="00E03A82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</w:p>
    <w:p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Control de cambios</w:t>
      </w: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6A1037" w:rsidRPr="00CF29F3" w:rsidTr="00CF29F3">
        <w:trPr>
          <w:jc w:val="center"/>
        </w:trPr>
        <w:tc>
          <w:tcPr>
            <w:tcW w:w="1129" w:type="dxa"/>
            <w:vAlign w:val="center"/>
          </w:tcPr>
          <w:p w:rsidR="006A1037" w:rsidRPr="00CF29F3" w:rsidRDefault="006A1037" w:rsidP="006A1037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6A1037" w:rsidRPr="00CF29F3" w:rsidRDefault="006A1037" w:rsidP="006A103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Acuerdo 37 del 6 de Noviembre de 2019</w:t>
            </w:r>
          </w:p>
        </w:tc>
        <w:tc>
          <w:tcPr>
            <w:tcW w:w="1418" w:type="dxa"/>
            <w:vAlign w:val="center"/>
          </w:tcPr>
          <w:p w:rsidR="006A1037" w:rsidRPr="00CF29F3" w:rsidRDefault="006A1037" w:rsidP="006A1037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8/04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/2020</w:t>
            </w:r>
          </w:p>
        </w:tc>
        <w:tc>
          <w:tcPr>
            <w:tcW w:w="4111" w:type="dxa"/>
            <w:vAlign w:val="center"/>
          </w:tcPr>
          <w:p w:rsidR="006A1037" w:rsidRPr="00CF29F3" w:rsidRDefault="006A1037" w:rsidP="006A103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CF29F3">
              <w:rPr>
                <w:rFonts w:asciiTheme="minorHAnsi" w:hAnsiTheme="minorHAnsi" w:cs="Arial"/>
                <w:sz w:val="20"/>
                <w:szCs w:val="20"/>
              </w:rPr>
              <w:t>Por medio del cual se aprueba el Plan de Desarrollo Institucional 2029 "Aquí construimos Futuro" y se dictan otras disposiciones.</w:t>
            </w:r>
          </w:p>
        </w:tc>
        <w:tc>
          <w:tcPr>
            <w:tcW w:w="1658" w:type="dxa"/>
            <w:vAlign w:val="center"/>
          </w:tcPr>
          <w:p w:rsidR="006A1037" w:rsidRPr="00CF29F3" w:rsidRDefault="006A1037" w:rsidP="006A1037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:rsidR="00E8012E" w:rsidRPr="00C363D4" w:rsidRDefault="00E8012E" w:rsidP="00812096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812096">
      <w:headerReference w:type="default" r:id="rId9"/>
      <w:footerReference w:type="default" r:id="rId10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40D" w:rsidRDefault="0004740D">
      <w:r>
        <w:separator/>
      </w:r>
    </w:p>
  </w:endnote>
  <w:endnote w:type="continuationSeparator" w:id="0">
    <w:p w:rsidR="0004740D" w:rsidRDefault="00047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40D" w:rsidRDefault="0004740D">
      <w:r>
        <w:separator/>
      </w:r>
    </w:p>
  </w:footnote>
  <w:footnote w:type="continuationSeparator" w:id="0">
    <w:p w:rsidR="0004740D" w:rsidRDefault="00047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382"/>
      <w:gridCol w:w="2398"/>
    </w:tblGrid>
    <w:tr w:rsidR="002831C2" w:rsidRPr="004036F2" w:rsidTr="00B05843">
      <w:trPr>
        <w:trHeight w:val="1825"/>
      </w:trPr>
      <w:tc>
        <w:tcPr>
          <w:tcW w:w="1605" w:type="dxa"/>
          <w:vAlign w:val="center"/>
          <w:hideMark/>
        </w:tcPr>
        <w:p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627E2FB5" wp14:editId="1DF91BCE">
                <wp:extent cx="1171185" cy="854648"/>
                <wp:effectExtent l="0" t="0" r="0" b="3175"/>
                <wp:docPr id="1108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DD0598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5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DD0598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5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1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E49D9"/>
    <w:multiLevelType w:val="hybridMultilevel"/>
    <w:tmpl w:val="F5847694"/>
    <w:lvl w:ilvl="0" w:tplc="8108848A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373205"/>
    <w:multiLevelType w:val="hybridMultilevel"/>
    <w:tmpl w:val="318E7272"/>
    <w:lvl w:ilvl="0" w:tplc="EF40ECAC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1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1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1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A475F"/>
    <w:multiLevelType w:val="hybridMultilevel"/>
    <w:tmpl w:val="416C513C"/>
    <w:lvl w:ilvl="0" w:tplc="E4EE01B8">
      <w:start w:val="1"/>
      <w:numFmt w:val="upperLetter"/>
      <w:lvlText w:val="%1."/>
      <w:lvlJc w:val="left"/>
      <w:pPr>
        <w:ind w:left="569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289" w:hanging="360"/>
      </w:pPr>
    </w:lvl>
    <w:lvl w:ilvl="2" w:tplc="240A001B" w:tentative="1">
      <w:start w:val="1"/>
      <w:numFmt w:val="lowerRoman"/>
      <w:lvlText w:val="%3."/>
      <w:lvlJc w:val="right"/>
      <w:pPr>
        <w:ind w:left="2009" w:hanging="180"/>
      </w:pPr>
    </w:lvl>
    <w:lvl w:ilvl="3" w:tplc="240A000F" w:tentative="1">
      <w:start w:val="1"/>
      <w:numFmt w:val="decimal"/>
      <w:lvlText w:val="%4."/>
      <w:lvlJc w:val="left"/>
      <w:pPr>
        <w:ind w:left="2729" w:hanging="360"/>
      </w:pPr>
    </w:lvl>
    <w:lvl w:ilvl="4" w:tplc="240A0019" w:tentative="1">
      <w:start w:val="1"/>
      <w:numFmt w:val="lowerLetter"/>
      <w:lvlText w:val="%5."/>
      <w:lvlJc w:val="left"/>
      <w:pPr>
        <w:ind w:left="3449" w:hanging="360"/>
      </w:pPr>
    </w:lvl>
    <w:lvl w:ilvl="5" w:tplc="240A001B" w:tentative="1">
      <w:start w:val="1"/>
      <w:numFmt w:val="lowerRoman"/>
      <w:lvlText w:val="%6."/>
      <w:lvlJc w:val="right"/>
      <w:pPr>
        <w:ind w:left="4169" w:hanging="180"/>
      </w:pPr>
    </w:lvl>
    <w:lvl w:ilvl="6" w:tplc="240A000F" w:tentative="1">
      <w:start w:val="1"/>
      <w:numFmt w:val="decimal"/>
      <w:lvlText w:val="%7."/>
      <w:lvlJc w:val="left"/>
      <w:pPr>
        <w:ind w:left="4889" w:hanging="360"/>
      </w:pPr>
    </w:lvl>
    <w:lvl w:ilvl="7" w:tplc="240A0019" w:tentative="1">
      <w:start w:val="1"/>
      <w:numFmt w:val="lowerLetter"/>
      <w:lvlText w:val="%8."/>
      <w:lvlJc w:val="left"/>
      <w:pPr>
        <w:ind w:left="5609" w:hanging="360"/>
      </w:pPr>
    </w:lvl>
    <w:lvl w:ilvl="8" w:tplc="240A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4" w15:restartNumberingAfterBreak="1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AB5518"/>
    <w:multiLevelType w:val="hybridMultilevel"/>
    <w:tmpl w:val="B380C64C"/>
    <w:lvl w:ilvl="0" w:tplc="24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1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1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803118"/>
    <w:multiLevelType w:val="hybridMultilevel"/>
    <w:tmpl w:val="B3682C5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1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BB9447A"/>
    <w:multiLevelType w:val="hybridMultilevel"/>
    <w:tmpl w:val="1DE8B308"/>
    <w:lvl w:ilvl="0" w:tplc="F0DCBD70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7"/>
  </w:num>
  <w:num w:numId="4">
    <w:abstractNumId w:val="2"/>
  </w:num>
  <w:num w:numId="5">
    <w:abstractNumId w:val="18"/>
  </w:num>
  <w:num w:numId="6">
    <w:abstractNumId w:val="9"/>
  </w:num>
  <w:num w:numId="7">
    <w:abstractNumId w:val="7"/>
  </w:num>
  <w:num w:numId="8">
    <w:abstractNumId w:val="10"/>
  </w:num>
  <w:num w:numId="9">
    <w:abstractNumId w:val="11"/>
  </w:num>
  <w:num w:numId="10">
    <w:abstractNumId w:val="19"/>
  </w:num>
  <w:num w:numId="11">
    <w:abstractNumId w:val="3"/>
  </w:num>
  <w:num w:numId="12">
    <w:abstractNumId w:val="14"/>
  </w:num>
  <w:num w:numId="13">
    <w:abstractNumId w:val="5"/>
  </w:num>
  <w:num w:numId="14">
    <w:abstractNumId w:val="1"/>
  </w:num>
  <w:num w:numId="15">
    <w:abstractNumId w:val="12"/>
  </w:num>
  <w:num w:numId="16">
    <w:abstractNumId w:val="23"/>
  </w:num>
  <w:num w:numId="17">
    <w:abstractNumId w:val="0"/>
  </w:num>
  <w:num w:numId="18">
    <w:abstractNumId w:val="6"/>
  </w:num>
  <w:num w:numId="19">
    <w:abstractNumId w:val="13"/>
  </w:num>
  <w:num w:numId="20">
    <w:abstractNumId w:val="15"/>
  </w:num>
  <w:num w:numId="21">
    <w:abstractNumId w:val="8"/>
  </w:num>
  <w:num w:numId="22">
    <w:abstractNumId w:val="22"/>
  </w:num>
  <w:num w:numId="23">
    <w:abstractNumId w:val="20"/>
  </w:num>
  <w:num w:numId="24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6A00"/>
    <w:rsid w:val="00017131"/>
    <w:rsid w:val="000248FA"/>
    <w:rsid w:val="00034295"/>
    <w:rsid w:val="00036D46"/>
    <w:rsid w:val="00042F98"/>
    <w:rsid w:val="000473A1"/>
    <w:rsid w:val="0004740D"/>
    <w:rsid w:val="000507E7"/>
    <w:rsid w:val="000519BF"/>
    <w:rsid w:val="00052E23"/>
    <w:rsid w:val="000578E4"/>
    <w:rsid w:val="0006072B"/>
    <w:rsid w:val="00070214"/>
    <w:rsid w:val="00070E79"/>
    <w:rsid w:val="00072BFA"/>
    <w:rsid w:val="00075ABC"/>
    <w:rsid w:val="000762FE"/>
    <w:rsid w:val="00080847"/>
    <w:rsid w:val="00084BF7"/>
    <w:rsid w:val="00085CA0"/>
    <w:rsid w:val="00086C7B"/>
    <w:rsid w:val="0009000C"/>
    <w:rsid w:val="00090316"/>
    <w:rsid w:val="0009668C"/>
    <w:rsid w:val="00096CFF"/>
    <w:rsid w:val="000A05C4"/>
    <w:rsid w:val="000A54CF"/>
    <w:rsid w:val="000A7E1C"/>
    <w:rsid w:val="000B0CAB"/>
    <w:rsid w:val="000B4547"/>
    <w:rsid w:val="000B7721"/>
    <w:rsid w:val="000C651D"/>
    <w:rsid w:val="000C731D"/>
    <w:rsid w:val="000D1CDC"/>
    <w:rsid w:val="000D2F9C"/>
    <w:rsid w:val="000E0EB2"/>
    <w:rsid w:val="000E1695"/>
    <w:rsid w:val="000E24DB"/>
    <w:rsid w:val="000E6055"/>
    <w:rsid w:val="000E633D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29B7"/>
    <w:rsid w:val="00113273"/>
    <w:rsid w:val="001176FC"/>
    <w:rsid w:val="00121571"/>
    <w:rsid w:val="001224CE"/>
    <w:rsid w:val="00124A24"/>
    <w:rsid w:val="00124D81"/>
    <w:rsid w:val="00136324"/>
    <w:rsid w:val="0013744F"/>
    <w:rsid w:val="00137FC8"/>
    <w:rsid w:val="001558F7"/>
    <w:rsid w:val="00164965"/>
    <w:rsid w:val="00164F96"/>
    <w:rsid w:val="001660DE"/>
    <w:rsid w:val="00171ABD"/>
    <w:rsid w:val="00172EC0"/>
    <w:rsid w:val="0017305C"/>
    <w:rsid w:val="00176758"/>
    <w:rsid w:val="001767E0"/>
    <w:rsid w:val="001804C0"/>
    <w:rsid w:val="00181138"/>
    <w:rsid w:val="00182ACD"/>
    <w:rsid w:val="001904DD"/>
    <w:rsid w:val="00191C0C"/>
    <w:rsid w:val="00197301"/>
    <w:rsid w:val="001A00E6"/>
    <w:rsid w:val="001A09F7"/>
    <w:rsid w:val="001A5871"/>
    <w:rsid w:val="001A5B20"/>
    <w:rsid w:val="001B0503"/>
    <w:rsid w:val="001C01F5"/>
    <w:rsid w:val="001C0C19"/>
    <w:rsid w:val="001C113C"/>
    <w:rsid w:val="001C1AF5"/>
    <w:rsid w:val="001C296C"/>
    <w:rsid w:val="001C3EC1"/>
    <w:rsid w:val="001D17FE"/>
    <w:rsid w:val="001D5D9A"/>
    <w:rsid w:val="001E485A"/>
    <w:rsid w:val="001E4A2A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734BE"/>
    <w:rsid w:val="002831C2"/>
    <w:rsid w:val="00285FF8"/>
    <w:rsid w:val="0029034A"/>
    <w:rsid w:val="00290B90"/>
    <w:rsid w:val="00293440"/>
    <w:rsid w:val="00293CF1"/>
    <w:rsid w:val="002A44EC"/>
    <w:rsid w:val="002A5CE3"/>
    <w:rsid w:val="002A719A"/>
    <w:rsid w:val="002B03BE"/>
    <w:rsid w:val="002B43E9"/>
    <w:rsid w:val="002B4FD6"/>
    <w:rsid w:val="002B554B"/>
    <w:rsid w:val="002B72D8"/>
    <w:rsid w:val="002B78B0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1BFA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32B1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3900"/>
    <w:rsid w:val="003E4E68"/>
    <w:rsid w:val="003F14AA"/>
    <w:rsid w:val="003F7165"/>
    <w:rsid w:val="0040098C"/>
    <w:rsid w:val="00401CA2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57C65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87157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6A97"/>
    <w:rsid w:val="004E7E4B"/>
    <w:rsid w:val="004F3697"/>
    <w:rsid w:val="004F5112"/>
    <w:rsid w:val="004F5A91"/>
    <w:rsid w:val="00500499"/>
    <w:rsid w:val="00504025"/>
    <w:rsid w:val="005042A8"/>
    <w:rsid w:val="005048B0"/>
    <w:rsid w:val="00505204"/>
    <w:rsid w:val="00507A82"/>
    <w:rsid w:val="005105A3"/>
    <w:rsid w:val="00510729"/>
    <w:rsid w:val="00511298"/>
    <w:rsid w:val="00516803"/>
    <w:rsid w:val="00517397"/>
    <w:rsid w:val="0052595E"/>
    <w:rsid w:val="0052737B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2B71"/>
    <w:rsid w:val="005E4866"/>
    <w:rsid w:val="005E66C4"/>
    <w:rsid w:val="00600DA3"/>
    <w:rsid w:val="00602917"/>
    <w:rsid w:val="0060476D"/>
    <w:rsid w:val="0060515A"/>
    <w:rsid w:val="00613DBB"/>
    <w:rsid w:val="00614A3D"/>
    <w:rsid w:val="00614F6E"/>
    <w:rsid w:val="006154A0"/>
    <w:rsid w:val="00616A91"/>
    <w:rsid w:val="00616AE0"/>
    <w:rsid w:val="0062405D"/>
    <w:rsid w:val="00632F86"/>
    <w:rsid w:val="00640501"/>
    <w:rsid w:val="00645AD7"/>
    <w:rsid w:val="0065175C"/>
    <w:rsid w:val="0065654F"/>
    <w:rsid w:val="006643D1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86072"/>
    <w:rsid w:val="00696A91"/>
    <w:rsid w:val="006A1037"/>
    <w:rsid w:val="006A1D7D"/>
    <w:rsid w:val="006A3354"/>
    <w:rsid w:val="006A68E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1305"/>
    <w:rsid w:val="007322ED"/>
    <w:rsid w:val="007341E8"/>
    <w:rsid w:val="00734EBC"/>
    <w:rsid w:val="00736E5A"/>
    <w:rsid w:val="00737DC3"/>
    <w:rsid w:val="007450DE"/>
    <w:rsid w:val="00752510"/>
    <w:rsid w:val="00754F03"/>
    <w:rsid w:val="00756B67"/>
    <w:rsid w:val="00767501"/>
    <w:rsid w:val="0077229A"/>
    <w:rsid w:val="0077272D"/>
    <w:rsid w:val="0077403F"/>
    <w:rsid w:val="007759A8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D58B0"/>
    <w:rsid w:val="007E6343"/>
    <w:rsid w:val="007E6943"/>
    <w:rsid w:val="007E6ED4"/>
    <w:rsid w:val="007F332D"/>
    <w:rsid w:val="00800136"/>
    <w:rsid w:val="00804F40"/>
    <w:rsid w:val="008052AE"/>
    <w:rsid w:val="00805B8F"/>
    <w:rsid w:val="00812096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5900"/>
    <w:rsid w:val="008664F5"/>
    <w:rsid w:val="008752B3"/>
    <w:rsid w:val="00887377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1FBE"/>
    <w:rsid w:val="008E206E"/>
    <w:rsid w:val="008E56CE"/>
    <w:rsid w:val="008E5BE7"/>
    <w:rsid w:val="008E75C0"/>
    <w:rsid w:val="008E7A30"/>
    <w:rsid w:val="008F76D7"/>
    <w:rsid w:val="008F7A18"/>
    <w:rsid w:val="009037C2"/>
    <w:rsid w:val="00904AC3"/>
    <w:rsid w:val="00912D92"/>
    <w:rsid w:val="0091462A"/>
    <w:rsid w:val="00935D2F"/>
    <w:rsid w:val="00942926"/>
    <w:rsid w:val="00946B10"/>
    <w:rsid w:val="00946C81"/>
    <w:rsid w:val="00947BE5"/>
    <w:rsid w:val="00953228"/>
    <w:rsid w:val="0097292D"/>
    <w:rsid w:val="009801D8"/>
    <w:rsid w:val="00980D1E"/>
    <w:rsid w:val="00980E9D"/>
    <w:rsid w:val="00984162"/>
    <w:rsid w:val="009924B1"/>
    <w:rsid w:val="009A089F"/>
    <w:rsid w:val="009A1AA5"/>
    <w:rsid w:val="009A35D0"/>
    <w:rsid w:val="009A4244"/>
    <w:rsid w:val="009A4949"/>
    <w:rsid w:val="009A64FD"/>
    <w:rsid w:val="009A7BCE"/>
    <w:rsid w:val="009B62EB"/>
    <w:rsid w:val="009B7E18"/>
    <w:rsid w:val="009C17EA"/>
    <w:rsid w:val="009C2CF9"/>
    <w:rsid w:val="009D28C7"/>
    <w:rsid w:val="009D3DE4"/>
    <w:rsid w:val="009E7E52"/>
    <w:rsid w:val="009F3783"/>
    <w:rsid w:val="009F46B9"/>
    <w:rsid w:val="009F5809"/>
    <w:rsid w:val="00A00D6F"/>
    <w:rsid w:val="00A019FD"/>
    <w:rsid w:val="00A02585"/>
    <w:rsid w:val="00A111A1"/>
    <w:rsid w:val="00A12134"/>
    <w:rsid w:val="00A1222F"/>
    <w:rsid w:val="00A2190E"/>
    <w:rsid w:val="00A2260E"/>
    <w:rsid w:val="00A22D77"/>
    <w:rsid w:val="00A2367C"/>
    <w:rsid w:val="00A260A7"/>
    <w:rsid w:val="00A27925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4AE5"/>
    <w:rsid w:val="00AC700E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16BD6"/>
    <w:rsid w:val="00B203CF"/>
    <w:rsid w:val="00B244F9"/>
    <w:rsid w:val="00B27ED0"/>
    <w:rsid w:val="00B3241D"/>
    <w:rsid w:val="00B41567"/>
    <w:rsid w:val="00B429BC"/>
    <w:rsid w:val="00B462F4"/>
    <w:rsid w:val="00B53B3F"/>
    <w:rsid w:val="00B64C2F"/>
    <w:rsid w:val="00B667D5"/>
    <w:rsid w:val="00B66BFD"/>
    <w:rsid w:val="00B670A4"/>
    <w:rsid w:val="00B67736"/>
    <w:rsid w:val="00B72A46"/>
    <w:rsid w:val="00B743D4"/>
    <w:rsid w:val="00B764E7"/>
    <w:rsid w:val="00B825E1"/>
    <w:rsid w:val="00B837C1"/>
    <w:rsid w:val="00B83C9D"/>
    <w:rsid w:val="00B90D01"/>
    <w:rsid w:val="00B941C8"/>
    <w:rsid w:val="00B948F0"/>
    <w:rsid w:val="00B951B3"/>
    <w:rsid w:val="00B95B33"/>
    <w:rsid w:val="00BA1C71"/>
    <w:rsid w:val="00BA1D56"/>
    <w:rsid w:val="00BA3221"/>
    <w:rsid w:val="00BA4B52"/>
    <w:rsid w:val="00BA762F"/>
    <w:rsid w:val="00BB2C7F"/>
    <w:rsid w:val="00BB4682"/>
    <w:rsid w:val="00BC058B"/>
    <w:rsid w:val="00BC56E3"/>
    <w:rsid w:val="00BD633A"/>
    <w:rsid w:val="00BE2A3C"/>
    <w:rsid w:val="00BE43E7"/>
    <w:rsid w:val="00BE503F"/>
    <w:rsid w:val="00BE5487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2FA"/>
    <w:rsid w:val="00C134D6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8DD"/>
    <w:rsid w:val="00C81CE9"/>
    <w:rsid w:val="00C82301"/>
    <w:rsid w:val="00C8721B"/>
    <w:rsid w:val="00C94CEF"/>
    <w:rsid w:val="00C95150"/>
    <w:rsid w:val="00C9706F"/>
    <w:rsid w:val="00C97F80"/>
    <w:rsid w:val="00CA0BD8"/>
    <w:rsid w:val="00CB3D95"/>
    <w:rsid w:val="00CB7A63"/>
    <w:rsid w:val="00CC14C1"/>
    <w:rsid w:val="00CC24EE"/>
    <w:rsid w:val="00CC41AA"/>
    <w:rsid w:val="00CC446B"/>
    <w:rsid w:val="00CC510B"/>
    <w:rsid w:val="00CC7402"/>
    <w:rsid w:val="00CD44D0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80394"/>
    <w:rsid w:val="00D81538"/>
    <w:rsid w:val="00D848D0"/>
    <w:rsid w:val="00D90733"/>
    <w:rsid w:val="00D92328"/>
    <w:rsid w:val="00D93B13"/>
    <w:rsid w:val="00D95F71"/>
    <w:rsid w:val="00DA2531"/>
    <w:rsid w:val="00DA5384"/>
    <w:rsid w:val="00DA5785"/>
    <w:rsid w:val="00DB108F"/>
    <w:rsid w:val="00DB1F45"/>
    <w:rsid w:val="00DB4EFC"/>
    <w:rsid w:val="00DB6C13"/>
    <w:rsid w:val="00DB6CC7"/>
    <w:rsid w:val="00DB6EDB"/>
    <w:rsid w:val="00DC341F"/>
    <w:rsid w:val="00DC34A1"/>
    <w:rsid w:val="00DC6280"/>
    <w:rsid w:val="00DC7631"/>
    <w:rsid w:val="00DD0598"/>
    <w:rsid w:val="00DE6485"/>
    <w:rsid w:val="00DE78CB"/>
    <w:rsid w:val="00DF078F"/>
    <w:rsid w:val="00DF099F"/>
    <w:rsid w:val="00DF1DDB"/>
    <w:rsid w:val="00DF21E6"/>
    <w:rsid w:val="00DF54D7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53A15"/>
    <w:rsid w:val="00E53D08"/>
    <w:rsid w:val="00E664B2"/>
    <w:rsid w:val="00E736AE"/>
    <w:rsid w:val="00E73996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F4CE4"/>
    <w:rsid w:val="00EF7EDC"/>
    <w:rsid w:val="00F019B5"/>
    <w:rsid w:val="00F1533D"/>
    <w:rsid w:val="00F23655"/>
    <w:rsid w:val="00F244F1"/>
    <w:rsid w:val="00F24B46"/>
    <w:rsid w:val="00F27E6F"/>
    <w:rsid w:val="00F30B2E"/>
    <w:rsid w:val="00F31E54"/>
    <w:rsid w:val="00F43A75"/>
    <w:rsid w:val="00F44AE1"/>
    <w:rsid w:val="00F50800"/>
    <w:rsid w:val="00F537DA"/>
    <w:rsid w:val="00F5465E"/>
    <w:rsid w:val="00F56736"/>
    <w:rsid w:val="00F576B4"/>
    <w:rsid w:val="00F75544"/>
    <w:rsid w:val="00F9325B"/>
    <w:rsid w:val="00F9508B"/>
    <w:rsid w:val="00F96540"/>
    <w:rsid w:val="00F9728D"/>
    <w:rsid w:val="00FA09DC"/>
    <w:rsid w:val="00FA132A"/>
    <w:rsid w:val="00FA321C"/>
    <w:rsid w:val="00FA44C2"/>
    <w:rsid w:val="00FA6DEB"/>
    <w:rsid w:val="00FB5281"/>
    <w:rsid w:val="00FB7EEB"/>
    <w:rsid w:val="00FC0D43"/>
    <w:rsid w:val="00FC44D7"/>
    <w:rsid w:val="00FD05FF"/>
    <w:rsid w:val="00FD44F7"/>
    <w:rsid w:val="00FD668B"/>
    <w:rsid w:val="00FD737A"/>
    <w:rsid w:val="00FE0E24"/>
    <w:rsid w:val="00FE23EB"/>
    <w:rsid w:val="00FE2C99"/>
    <w:rsid w:val="00FE3243"/>
    <w:rsid w:val="00FF0217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C8DBBC1-A5DB-49FB-84D2-0ADA78EA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  <w:style w:type="character" w:styleId="Textodelmarcadordeposicin">
    <w:name w:val="Placeholder Text"/>
    <w:basedOn w:val="Fuentedeprrafopredeter"/>
    <w:uiPriority w:val="99"/>
    <w:semiHidden/>
    <w:rsid w:val="00CC510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s://www.utp.edu.co/vicerrectoria/administrativa/presupuesto-aprobado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964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IMPULZAME</cp:lastModifiedBy>
  <cp:revision>9</cp:revision>
  <cp:lastPrinted>2008-11-24T15:14:00Z</cp:lastPrinted>
  <dcterms:created xsi:type="dcterms:W3CDTF">2020-03-06T23:12:00Z</dcterms:created>
  <dcterms:modified xsi:type="dcterms:W3CDTF">2020-04-27T22:41:00Z</dcterms:modified>
</cp:coreProperties>
</file>