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D7AB" w14:textId="7B6069EF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General</w:t>
      </w:r>
    </w:p>
    <w:p w14:paraId="4F29810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3154"/>
      </w:tblGrid>
      <w:tr w:rsidR="00E8012E" w:rsidRPr="00504025" w14:paraId="1E297DA4" w14:textId="77777777" w:rsidTr="004E3A6C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647E0F2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E8D553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F0B0CC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5F4FF8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3154" w:type="dxa"/>
            <w:shd w:val="clear" w:color="auto" w:fill="17365D" w:themeFill="text2" w:themeFillShade="BF"/>
            <w:vAlign w:val="center"/>
          </w:tcPr>
          <w:p w14:paraId="62FCFAAC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4853D0" w:rsidRPr="00504025" w14:paraId="6D1EF9AC" w14:textId="77777777" w:rsidTr="004E3A6C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38C5B84C" w14:textId="77777777" w:rsidR="004853D0" w:rsidRPr="00504025" w:rsidRDefault="004853D0" w:rsidP="004853D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GSI0504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143C0C89" w14:textId="77777777" w:rsidR="004853D0" w:rsidRPr="0041438F" w:rsidRDefault="004853D0" w:rsidP="004853D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EB99DD6" w14:textId="77777777" w:rsidR="004853D0" w:rsidRPr="0041438F" w:rsidRDefault="004853D0" w:rsidP="004853D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1E9122E" w14:textId="5F5E102F" w:rsidR="004853D0" w:rsidRPr="0041438F" w:rsidRDefault="004853D0" w:rsidP="004853D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56B36B8" w14:textId="2CA6703C" w:rsidR="004853D0" w:rsidRPr="0041438F" w:rsidRDefault="004853D0" w:rsidP="004853D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09383E2D" w14:textId="77777777" w:rsidTr="004E3A6C">
        <w:trPr>
          <w:trHeight w:val="286"/>
          <w:jc w:val="center"/>
        </w:trPr>
        <w:tc>
          <w:tcPr>
            <w:tcW w:w="9776" w:type="dxa"/>
            <w:gridSpan w:val="5"/>
            <w:vAlign w:val="center"/>
          </w:tcPr>
          <w:p w14:paraId="585D2A9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Implementación de la gestión de la comunicación y promoción institucional (GCPI)</w:t>
            </w:r>
          </w:p>
        </w:tc>
      </w:tr>
      <w:tr w:rsidR="00E8012E" w:rsidRPr="00504025" w14:paraId="56FFE1B2" w14:textId="77777777" w:rsidTr="004E3A6C">
        <w:trPr>
          <w:trHeight w:val="273"/>
          <w:jc w:val="center"/>
        </w:trPr>
        <w:tc>
          <w:tcPr>
            <w:tcW w:w="9776" w:type="dxa"/>
            <w:gridSpan w:val="5"/>
            <w:vAlign w:val="center"/>
          </w:tcPr>
          <w:p w14:paraId="4DB5EADC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los resultados de la vigencia en productos de comunicación</w:t>
            </w:r>
          </w:p>
        </w:tc>
      </w:tr>
      <w:tr w:rsidR="00E8012E" w:rsidRPr="00504025" w14:paraId="70AEB7A4" w14:textId="77777777" w:rsidTr="004E3A6C">
        <w:trPr>
          <w:trHeight w:val="51"/>
          <w:jc w:val="center"/>
        </w:trPr>
        <w:tc>
          <w:tcPr>
            <w:tcW w:w="9776" w:type="dxa"/>
            <w:gridSpan w:val="5"/>
            <w:vAlign w:val="center"/>
          </w:tcPr>
          <w:p w14:paraId="3182597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082020AF" w14:textId="77777777" w:rsidTr="004E3A6C">
        <w:trPr>
          <w:trHeight w:val="51"/>
          <w:jc w:val="center"/>
        </w:trPr>
        <w:tc>
          <w:tcPr>
            <w:tcW w:w="9776" w:type="dxa"/>
            <w:gridSpan w:val="5"/>
            <w:vAlign w:val="center"/>
          </w:tcPr>
          <w:p w14:paraId="79C7FC1F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015C92" w:rsidRPr="003A6DB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cultura de la legalidad, la transparencia, el gobierno corporativo y promover la participación ciudadana como ejes transversales del desarrollo institucional.</w:t>
            </w:r>
          </w:p>
        </w:tc>
      </w:tr>
      <w:tr w:rsidR="00E8012E" w:rsidRPr="00504025" w14:paraId="36E86F4A" w14:textId="77777777" w:rsidTr="004E3A6C">
        <w:trPr>
          <w:trHeight w:val="146"/>
          <w:jc w:val="center"/>
        </w:trPr>
        <w:tc>
          <w:tcPr>
            <w:tcW w:w="9776" w:type="dxa"/>
            <w:gridSpan w:val="5"/>
            <w:vAlign w:val="center"/>
          </w:tcPr>
          <w:p w14:paraId="539290F2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3C39AD4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8CF76A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0A086766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F736F6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A85708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BB8466C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37724C5D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092ED366" w14:textId="77777777" w:rsidTr="004E3A6C">
        <w:trPr>
          <w:trHeight w:val="92"/>
          <w:jc w:val="center"/>
        </w:trPr>
        <w:tc>
          <w:tcPr>
            <w:tcW w:w="9776" w:type="dxa"/>
            <w:gridSpan w:val="5"/>
            <w:vAlign w:val="center"/>
          </w:tcPr>
          <w:p w14:paraId="0E024C1E" w14:textId="2E0FD508" w:rsidR="00E8012E" w:rsidRPr="00504025" w:rsidRDefault="00E8012E" w:rsidP="00AE379A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42472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</w:t>
            </w:r>
            <w:r w:rsidR="00AE379A" w:rsidRPr="00AE379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Institucional</w:t>
            </w:r>
          </w:p>
        </w:tc>
      </w:tr>
      <w:tr w:rsidR="00E8012E" w:rsidRPr="00504025" w14:paraId="724BB340" w14:textId="77777777" w:rsidTr="004E3A6C">
        <w:trPr>
          <w:trHeight w:val="268"/>
          <w:jc w:val="center"/>
        </w:trPr>
        <w:tc>
          <w:tcPr>
            <w:tcW w:w="9776" w:type="dxa"/>
            <w:gridSpan w:val="5"/>
            <w:vAlign w:val="center"/>
          </w:tcPr>
          <w:p w14:paraId="6470A1E1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4FFF2CEC" w14:textId="77777777" w:rsidR="00651E49" w:rsidRDefault="00651E49" w:rsidP="0078788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0B6B4110" w14:textId="77777777" w:rsidR="00E8012E" w:rsidRPr="00651E49" w:rsidRDefault="00E8012E" w:rsidP="0078788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651E4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E31AE1" w:rsidRP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>ORGANIZACIÓN</w:t>
            </w:r>
            <w:r w:rsidR="00E31AE1">
              <w:rPr>
                <w:rFonts w:asciiTheme="minorHAnsi" w:hAnsiTheme="minorHAnsi" w:cs="Arial"/>
                <w:sz w:val="20"/>
                <w:szCs w:val="20"/>
                <w:lang w:val="es-CO"/>
              </w:rPr>
              <w:t>, GESTIÓN Y ADMINISTRACIÓN</w:t>
            </w:r>
          </w:p>
          <w:p w14:paraId="2CABC8CC" w14:textId="77777777" w:rsidR="00E8012E" w:rsidRPr="00651E49" w:rsidRDefault="00483046" w:rsidP="00483046">
            <w:pPr>
              <w:spacing w:line="0" w:lineRule="atLeast"/>
              <w:ind w:left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31AE1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651E49" w:rsidRPr="00E31AE1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26</w:t>
            </w:r>
            <w:r w:rsidR="00E8012E" w:rsidRPr="00E31AE1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 w:rsidR="00E8012E"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de comunicación</w:t>
            </w:r>
          </w:p>
          <w:p w14:paraId="5543069C" w14:textId="77777777" w:rsidR="0013222C" w:rsidRDefault="00D22472" w:rsidP="0013222C">
            <w:pPr>
              <w:spacing w:line="0" w:lineRule="atLeast"/>
              <w:ind w:left="63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8419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651E4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</w:t>
            </w:r>
            <w:r w:rsidR="0048304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651E49" w:rsidRP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>Existencia y utilización de sistemas de información integrados y mecanismos eficaces que faciliten la comunicación interna y externa de la institución.</w:t>
            </w:r>
          </w:p>
          <w:p w14:paraId="076179F9" w14:textId="77777777" w:rsidR="00651E49" w:rsidRPr="00651E49" w:rsidRDefault="00651E49" w:rsidP="0013222C">
            <w:pPr>
              <w:spacing w:line="0" w:lineRule="atLeast"/>
              <w:ind w:left="634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8419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H</w:t>
            </w:r>
            <w:r w:rsidR="0048304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Mecanismos de comunicación para facilitar que la población </w:t>
            </w:r>
            <w:r w:rsidR="00483046" w:rsidRP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estudiantil tenga</w:t>
            </w:r>
            <w:r w:rsidRPr="00651E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acceso a la información.</w:t>
            </w:r>
          </w:p>
          <w:p w14:paraId="4190FD21" w14:textId="77777777" w:rsidR="00D22472" w:rsidRPr="00787881" w:rsidRDefault="00D22472" w:rsidP="00F02B8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1BB612F6" w14:textId="77777777" w:rsidTr="004E3A6C">
        <w:trPr>
          <w:trHeight w:val="1061"/>
          <w:jc w:val="center"/>
        </w:trPr>
        <w:tc>
          <w:tcPr>
            <w:tcW w:w="9776" w:type="dxa"/>
            <w:gridSpan w:val="5"/>
            <w:vAlign w:val="center"/>
          </w:tcPr>
          <w:p w14:paraId="5D289D67" w14:textId="77777777" w:rsidR="00E8012E" w:rsidRPr="00504025" w:rsidRDefault="00E8012E" w:rsidP="00E31AE1">
            <w:pPr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7A2B5BB2" w14:textId="77777777" w:rsidR="00E8012E" w:rsidRPr="00504025" w:rsidRDefault="00E8012E" w:rsidP="00E31AE1">
            <w:pPr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69383E7F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C69AF5A" w14:textId="77777777" w:rsidR="00E8012E" w:rsidRPr="00504025" w:rsidRDefault="00E8012E" w:rsidP="00E31AE1">
                  <w:pPr>
                    <w:spacing w:line="240" w:lineRule="auto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2D78FAEB" w14:textId="77777777" w:rsidR="00E8012E" w:rsidRPr="00504025" w:rsidRDefault="0027066B" w:rsidP="00E31AE1">
                  <w:pPr>
                    <w:spacing w:line="240" w:lineRule="auto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153EE084" w14:textId="77777777" w:rsidR="00E8012E" w:rsidRPr="00504025" w:rsidRDefault="00E8012E" w:rsidP="00E31AE1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837E4F2" w14:textId="77777777" w:rsidR="00E8012E" w:rsidRPr="00504025" w:rsidRDefault="00E8012E" w:rsidP="00E31AE1">
                  <w:pPr>
                    <w:spacing w:line="240" w:lineRule="auto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0356EC36" w14:textId="77777777" w:rsidR="00E8012E" w:rsidRPr="00504025" w:rsidRDefault="00E8012E" w:rsidP="00E31AE1">
                  <w:pPr>
                    <w:spacing w:line="240" w:lineRule="auto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8B0945B" w14:textId="77777777" w:rsidR="00E8012E" w:rsidRPr="00504025" w:rsidRDefault="00E8012E" w:rsidP="00E31AE1">
                  <w:pPr>
                    <w:spacing w:line="240" w:lineRule="auto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DC28D5E" w14:textId="77777777" w:rsidR="00E8012E" w:rsidRPr="00504025" w:rsidRDefault="00E8012E" w:rsidP="00E31AE1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C13BF53" w14:textId="77777777" w:rsidTr="004E3A6C">
        <w:trPr>
          <w:trHeight w:val="397"/>
          <w:jc w:val="center"/>
        </w:trPr>
        <w:tc>
          <w:tcPr>
            <w:tcW w:w="9776" w:type="dxa"/>
            <w:gridSpan w:val="5"/>
            <w:vAlign w:val="center"/>
          </w:tcPr>
          <w:p w14:paraId="3302299B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502E8A9" w14:textId="77777777" w:rsidR="00E14E7B" w:rsidRDefault="00E14E7B" w:rsidP="00E14E7B">
            <w:pPr>
              <w:pStyle w:val="Prrafodelista"/>
              <w:numPr>
                <w:ilvl w:val="0"/>
                <w:numId w:val="21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14E7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Repositorios institucionales de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publicación del boletín campus informa</w:t>
            </w:r>
          </w:p>
          <w:p w14:paraId="0BA494EF" w14:textId="77777777" w:rsidR="00E14E7B" w:rsidRDefault="00E14E7B" w:rsidP="00E14E7B">
            <w:pPr>
              <w:pStyle w:val="Prrafodelista"/>
              <w:numPr>
                <w:ilvl w:val="0"/>
                <w:numId w:val="21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Informe estadístico de redes sociales</w:t>
            </w:r>
          </w:p>
          <w:p w14:paraId="43F239EA" w14:textId="77777777" w:rsidR="00E14E7B" w:rsidRDefault="00E14E7B" w:rsidP="00E14E7B">
            <w:pPr>
              <w:pStyle w:val="Prrafodelista"/>
              <w:numPr>
                <w:ilvl w:val="0"/>
                <w:numId w:val="21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Audios de emisiones en Universitaria Estéreo</w:t>
            </w:r>
          </w:p>
          <w:p w14:paraId="3EA49C7A" w14:textId="77777777" w:rsidR="00E14E7B" w:rsidRPr="00E14E7B" w:rsidRDefault="00A561E7" w:rsidP="00E14E7B">
            <w:pPr>
              <w:pStyle w:val="Prrafodelista"/>
              <w:numPr>
                <w:ilvl w:val="0"/>
                <w:numId w:val="21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Repositorios de publicación de medios de comunicación externos</w:t>
            </w:r>
          </w:p>
        </w:tc>
      </w:tr>
      <w:tr w:rsidR="00E8012E" w:rsidRPr="00504025" w14:paraId="03B6C9B8" w14:textId="77777777" w:rsidTr="004E3A6C">
        <w:trPr>
          <w:trHeight w:val="397"/>
          <w:jc w:val="center"/>
        </w:trPr>
        <w:tc>
          <w:tcPr>
            <w:tcW w:w="9776" w:type="dxa"/>
            <w:gridSpan w:val="5"/>
            <w:vAlign w:val="center"/>
          </w:tcPr>
          <w:p w14:paraId="2C9FA62D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Oficina de </w:t>
            </w:r>
            <w:r w:rsidR="004B2E3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la comunicación y la promoción</w:t>
            </w:r>
            <w:r w:rsidR="008924D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4B2E3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institucional </w:t>
            </w:r>
          </w:p>
        </w:tc>
      </w:tr>
      <w:tr w:rsidR="00E8012E" w:rsidRPr="00504025" w14:paraId="45AB8A1C" w14:textId="77777777" w:rsidTr="004E3A6C">
        <w:trPr>
          <w:trHeight w:val="397"/>
          <w:jc w:val="center"/>
        </w:trPr>
        <w:tc>
          <w:tcPr>
            <w:tcW w:w="9776" w:type="dxa"/>
            <w:gridSpan w:val="5"/>
            <w:vAlign w:val="center"/>
          </w:tcPr>
          <w:p w14:paraId="16654242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4B2E30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Oficina de </w:t>
            </w:r>
            <w:r w:rsidR="004B2E3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la comunicación y la promoción</w:t>
            </w:r>
            <w:r w:rsidR="008924D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4B2E3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institucional</w:t>
            </w:r>
          </w:p>
        </w:tc>
      </w:tr>
    </w:tbl>
    <w:p w14:paraId="60DE2D7C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683DBAB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B8EFEFF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47D9483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8012E" w:rsidRPr="00504025" w14:paraId="63412EA1" w14:textId="77777777" w:rsidTr="004E3A6C">
        <w:trPr>
          <w:trHeight w:val="397"/>
        </w:trPr>
        <w:tc>
          <w:tcPr>
            <w:tcW w:w="9351" w:type="dxa"/>
            <w:vAlign w:val="center"/>
          </w:tcPr>
          <w:p w14:paraId="75B53090" w14:textId="77777777" w:rsidR="00771738" w:rsidRDefault="00771738" w:rsidP="00C85E8F">
            <w:pPr>
              <w:pStyle w:val="NormalWeb"/>
              <w:spacing w:before="0" w:beforeAutospacing="0" w:after="0" w:afterAutospacing="0"/>
              <w:rPr>
                <w:rFonts w:ascii="Arial,Bold" w:hAnsi="Arial,Bold"/>
                <w:sz w:val="22"/>
                <w:szCs w:val="22"/>
              </w:rPr>
            </w:pPr>
          </w:p>
          <w:p w14:paraId="4314ED70" w14:textId="77777777" w:rsid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  <w:r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Comunicación Corporativa</w:t>
            </w:r>
            <w:r w:rsidR="00771738"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:</w:t>
            </w:r>
            <w:r w:rsidR="00771738"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 Gestiona la identidad corporativa, en la medida en que preserva y fortalece la imagen proyectada hacia el ámbito interno y externo. </w:t>
            </w:r>
          </w:p>
          <w:p w14:paraId="14E5B589" w14:textId="77777777" w:rsidR="00C85E8F" w:rsidRP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</w:p>
          <w:p w14:paraId="4B72060F" w14:textId="77777777" w:rsid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  <w:r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Comunicación Organizacional</w:t>
            </w:r>
            <w:r w:rsidR="00771738"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:</w:t>
            </w:r>
            <w:r w:rsidR="00771738"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 Busca garantizar la funcionalidad organizacional y la coherencia del sistema institucional de comunicaciones, desde la adecuada articulación de acciones y esfuerzos para lograr el propósito misional. </w:t>
            </w:r>
          </w:p>
          <w:p w14:paraId="705F5D9D" w14:textId="77777777" w:rsidR="00C85E8F" w:rsidRP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</w:p>
          <w:p w14:paraId="15974D05" w14:textId="77777777" w:rsid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  <w:r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Comunicación Informativa:</w:t>
            </w:r>
            <w:r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 </w:t>
            </w:r>
            <w:r w:rsidR="00771738"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Busca garantizar que la Universidad se exprese frente a la sociedad. </w:t>
            </w:r>
          </w:p>
          <w:p w14:paraId="68726B64" w14:textId="77777777" w:rsidR="00C85E8F" w:rsidRP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</w:p>
          <w:p w14:paraId="088ECC79" w14:textId="77777777" w:rsidR="00771738" w:rsidRPr="00771738" w:rsidRDefault="00C85E8F" w:rsidP="00C85E8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</w:pPr>
            <w:r w:rsidRPr="00771738">
              <w:rPr>
                <w:rFonts w:asciiTheme="minorHAnsi" w:hAnsiTheme="minorHAnsi" w:cs="Arial"/>
                <w:b/>
                <w:noProof/>
                <w:sz w:val="20"/>
                <w:szCs w:val="20"/>
                <w:lang w:val="es-ES" w:eastAsia="es-ES"/>
              </w:rPr>
              <w:t>Comunicación Movilizadora:</w:t>
            </w:r>
            <w:r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 </w:t>
            </w:r>
            <w:r w:rsidR="00771738" w:rsidRPr="00771738">
              <w:rPr>
                <w:rFonts w:asciiTheme="minorHAnsi" w:hAnsiTheme="minorHAnsi" w:cs="Arial"/>
                <w:noProof/>
                <w:sz w:val="20"/>
                <w:szCs w:val="20"/>
                <w:lang w:val="es-ES" w:eastAsia="es-ES"/>
              </w:rPr>
              <w:t xml:space="preserve">Busca convocar a los diferentes actores internos y externos para lograr interacción en torno a propósitos comunes. </w:t>
            </w:r>
          </w:p>
          <w:p w14:paraId="6946FC12" w14:textId="77777777" w:rsidR="00E8012E" w:rsidRPr="00771738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56A6CC80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800278F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18FA89B8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351"/>
      </w:tblGrid>
      <w:tr w:rsidR="00E8012E" w:rsidRPr="00504025" w14:paraId="2AF3B7E9" w14:textId="77777777" w:rsidTr="00067A4E">
        <w:trPr>
          <w:trHeight w:val="397"/>
        </w:trPr>
        <w:tc>
          <w:tcPr>
            <w:tcW w:w="9351" w:type="dxa"/>
            <w:vAlign w:val="center"/>
          </w:tcPr>
          <w:p w14:paraId="5E82197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0186205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5FCE908" w14:textId="77777777" w:rsidTr="00067A4E">
              <w:trPr>
                <w:jc w:val="center"/>
              </w:trPr>
              <w:tc>
                <w:tcPr>
                  <w:tcW w:w="1194" w:type="dxa"/>
                </w:tcPr>
                <w:p w14:paraId="0275279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637CBA86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430C8B6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34C243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B1718B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01D1009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284C7D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165E03A" w14:textId="77777777" w:rsidTr="00067A4E">
        <w:trPr>
          <w:trHeight w:val="397"/>
        </w:trPr>
        <w:tc>
          <w:tcPr>
            <w:tcW w:w="9351" w:type="dxa"/>
            <w:vAlign w:val="center"/>
          </w:tcPr>
          <w:p w14:paraId="62E3249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EFF582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4E5727C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Implementación de la gestión de la comunicación y promoción institucional (GCPI</w:t>
            </w:r>
            <w:r w:rsidRPr="00695FAD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)</w:t>
            </w:r>
            <w:r w:rsidRPr="00695FAD"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="00AE379A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((% cumplimiento de </w:t>
            </w:r>
            <w:r w:rsidR="00B25440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>Número de publicaciones</w:t>
            </w:r>
            <w:r w:rsidR="00AE379A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realizadas y publicadas en medios de com</w:t>
            </w:r>
            <w:r w:rsidR="00AE2798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>u</w:t>
            </w:r>
            <w:r w:rsidR="00AE379A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nicación internos * 0.5 + % cumplimiento de Número </w:t>
            </w:r>
            <w:r w:rsidR="00B25440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>publicaciones realizadas</w:t>
            </w:r>
            <w:r w:rsidR="00AE379A" w:rsidRPr="00695FA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en medios de cominicación externos * 0.5) + % cumplimiento de Número de canales de comunicación interna que cuenten con lineamientos de uso + % cumplimiento de Número de espacios generados para la interacción de los grupos de interés) / 3</w:t>
            </w:r>
          </w:p>
        </w:tc>
      </w:tr>
      <w:tr w:rsidR="00E8012E" w:rsidRPr="00504025" w14:paraId="4592AB60" w14:textId="77777777" w:rsidTr="00067A4E">
        <w:trPr>
          <w:trHeight w:val="397"/>
        </w:trPr>
        <w:tc>
          <w:tcPr>
            <w:tcW w:w="9351" w:type="dxa"/>
            <w:vAlign w:val="center"/>
          </w:tcPr>
          <w:p w14:paraId="4C58017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73CF763" w14:textId="77777777" w:rsidR="000B51A7" w:rsidRDefault="000B51A7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8EB83E8" w14:textId="77777777" w:rsidR="000B51A7" w:rsidRDefault="000B51A7" w:rsidP="000B51A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Se contarán sólo las notas realizadas que han sido aprobadas y publicadas en los medios de comunicación internos con que cuenta la Universidad Tecnológica de Pereira: Boletín Campus Informa, </w:t>
            </w:r>
            <w:r w:rsidR="004B1DC0">
              <w:rPr>
                <w:rFonts w:asciiTheme="minorHAnsi" w:hAnsiTheme="minorHAnsi" w:cs="Arial"/>
                <w:sz w:val="20"/>
                <w:szCs w:val="20"/>
                <w:lang w:val="es-CO"/>
              </w:rPr>
              <w:t>Redes sociales institucionales, emisora universitaria estéreo.</w:t>
            </w:r>
          </w:p>
          <w:p w14:paraId="6E30272E" w14:textId="77777777" w:rsidR="004B1DC0" w:rsidRDefault="004B1DC0" w:rsidP="000B51A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Para el caso de la publicación en medios de comunicación externos, se tendrán en cuenta piezas informativas construídas tanto por la Institución como por medios externo</w:t>
            </w:r>
            <w:r w:rsidR="00DC3BD7">
              <w:rPr>
                <w:rFonts w:asciiTheme="minorHAnsi" w:hAnsiTheme="minorHAnsi" w:cs="Arial"/>
                <w:sz w:val="20"/>
                <w:szCs w:val="20"/>
                <w:lang w:val="es-CO"/>
              </w:rPr>
              <w:t>s (regionales y nacionales)</w:t>
            </w:r>
          </w:p>
          <w:p w14:paraId="485C0FFD" w14:textId="77777777" w:rsidR="00DC3BD7" w:rsidRDefault="00DC3BD7" w:rsidP="000B51A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El cumplimiento de los lineamientos de uso se validará por medio de la existencia de políticas de publicación o manuales de estilo.</w:t>
            </w:r>
          </w:p>
          <w:p w14:paraId="0EDE358E" w14:textId="77777777" w:rsidR="00DC3BD7" w:rsidRPr="000B51A7" w:rsidRDefault="00DC3BD7" w:rsidP="000B51A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Los espacios de interacción con grupos de interés serán aquellos eventos difundidos ampliamente, en los que directivos de la institución o sus delegados, interactúen con los actores involucrados en el quehacer institucional.</w:t>
            </w:r>
          </w:p>
          <w:p w14:paraId="549433C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DB9377D" w14:textId="28154F69" w:rsidR="00E12B2D" w:rsidRPr="00D47949" w:rsidRDefault="00E12B2D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20BC2C1" w14:textId="77777777" w:rsidTr="00067A4E">
        <w:trPr>
          <w:trHeight w:val="397"/>
        </w:trPr>
        <w:tc>
          <w:tcPr>
            <w:tcW w:w="9351" w:type="dxa"/>
            <w:vAlign w:val="center"/>
          </w:tcPr>
          <w:p w14:paraId="26C54A2F" w14:textId="2F6BBA8C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684BC762" w14:textId="77777777" w:rsidR="00E12B2D" w:rsidRPr="005362C2" w:rsidRDefault="00E12B2D" w:rsidP="005362C2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049"/>
              <w:gridCol w:w="2183"/>
              <w:gridCol w:w="1473"/>
              <w:gridCol w:w="1139"/>
              <w:gridCol w:w="1650"/>
            </w:tblGrid>
            <w:tr w:rsidR="00067A4E" w:rsidRPr="00067A4E" w14:paraId="0D9C1338" w14:textId="77777777" w:rsidTr="00067A4E">
              <w:trPr>
                <w:trHeight w:val="585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429407F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Publicaciones realizadas y publicadas en medios de comunicación internos</w:t>
                  </w:r>
                </w:p>
              </w:tc>
            </w:tr>
            <w:tr w:rsidR="00067A4E" w:rsidRPr="00067A4E" w14:paraId="6A2B0B0F" w14:textId="77777777" w:rsidTr="00067A4E">
              <w:trPr>
                <w:trHeight w:val="1530"/>
              </w:trPr>
              <w:tc>
                <w:tcPr>
                  <w:tcW w:w="8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3799FEF8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Título de la noticia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29D74FB4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Fecha de la noticia</w:t>
                  </w:r>
                </w:p>
              </w:tc>
              <w:tc>
                <w:tcPr>
                  <w:tcW w:w="1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44197D8A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Medio en que se publicó (campus informa, redes sociales, emisora universitaria estéreo, página web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20F1E61C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publicación (nota, noticia, pieza gráfica, entrevista)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B1584E1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Tipo de soporte (escaneado, link, audio)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3979B3C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 Ubicación del soporte (link, ubicación del archivo fuente)</w:t>
                  </w:r>
                </w:p>
              </w:tc>
            </w:tr>
            <w:tr w:rsidR="00067A4E" w:rsidRPr="00067A4E" w14:paraId="665E1213" w14:textId="77777777" w:rsidTr="00067A4E">
              <w:trPr>
                <w:trHeight w:val="300"/>
              </w:trPr>
              <w:tc>
                <w:tcPr>
                  <w:tcW w:w="8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43C7B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5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10218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A0A2A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4D6FC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4056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9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0553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1EDBB0C0" w14:textId="77777777" w:rsidR="00E8012E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4327BFA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796"/>
              <w:gridCol w:w="1524"/>
              <w:gridCol w:w="1453"/>
              <w:gridCol w:w="1580"/>
              <w:gridCol w:w="1285"/>
              <w:gridCol w:w="1692"/>
            </w:tblGrid>
            <w:tr w:rsidR="00067A4E" w:rsidRPr="00067A4E" w14:paraId="1D51BBFF" w14:textId="77777777" w:rsidTr="00067A4E">
              <w:trPr>
                <w:trHeight w:val="540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C57BF47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Publicaciones realizadas en medios de comunicación externos</w:t>
                  </w:r>
                </w:p>
              </w:tc>
            </w:tr>
            <w:tr w:rsidR="00067A4E" w:rsidRPr="00067A4E" w14:paraId="041E7253" w14:textId="77777777" w:rsidTr="00067A4E">
              <w:trPr>
                <w:trHeight w:val="2295"/>
              </w:trPr>
              <w:tc>
                <w:tcPr>
                  <w:tcW w:w="4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3A5D7C3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Título de la noticia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C534188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Fecha de la noticia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105FB9C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Medio en que se publicó (Nombre del medio de comunicación)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D927D97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Tipo de medio de comunicación (impreso, radio, red social, Televisión, web)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27E8F59B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Tipo de publicación (nota, noticia, pieza gráfica, entrevista, reportaje, </w:t>
                  </w:r>
                  <w:proofErr w:type="spellStart"/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publireportaje</w:t>
                  </w:r>
                  <w:proofErr w:type="spellEnd"/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)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2F22F694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·          Tipo de soporte (escaneado, link, audio)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B5A593D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Ubicación del soporte (link, ubicación del archivo fuente)</w:t>
                  </w:r>
                </w:p>
              </w:tc>
            </w:tr>
            <w:tr w:rsidR="00067A4E" w:rsidRPr="00067A4E" w14:paraId="0F84B336" w14:textId="77777777" w:rsidTr="00067A4E">
              <w:trPr>
                <w:trHeight w:val="300"/>
              </w:trPr>
              <w:tc>
                <w:tcPr>
                  <w:tcW w:w="4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82B1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67E0A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E393F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0A37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FC224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7909C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9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3669F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CO" w:eastAsia="es-CO"/>
                    </w:rPr>
                    <w:t> </w:t>
                  </w:r>
                </w:p>
              </w:tc>
            </w:tr>
          </w:tbl>
          <w:p w14:paraId="60540368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316ED5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694"/>
              <w:gridCol w:w="4288"/>
            </w:tblGrid>
            <w:tr w:rsidR="00067A4E" w:rsidRPr="00067A4E" w14:paraId="3ED4343F" w14:textId="77777777" w:rsidTr="00067A4E">
              <w:trPr>
                <w:trHeight w:val="300"/>
              </w:trPr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FA16CB6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Canales de comunicación interna que cuenten con lineamientos de uso</w:t>
                  </w:r>
                </w:p>
              </w:tc>
            </w:tr>
            <w:tr w:rsidR="00067A4E" w:rsidRPr="00067A4E" w14:paraId="14D7F306" w14:textId="77777777" w:rsidTr="00067A4E">
              <w:trPr>
                <w:trHeight w:val="765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DE51C37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Canal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9786730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Lineamiento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B1B63FE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Documentos con lineamientos institucionales para la publicación en medios de comunicación internos.</w:t>
                  </w:r>
                </w:p>
              </w:tc>
            </w:tr>
            <w:tr w:rsidR="00067A4E" w:rsidRPr="00067A4E" w14:paraId="210773F9" w14:textId="77777777" w:rsidTr="00067A4E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2E873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C5142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5FD69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74D5C30C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FE8D36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1843"/>
              <w:gridCol w:w="993"/>
              <w:gridCol w:w="1559"/>
              <w:gridCol w:w="1736"/>
            </w:tblGrid>
            <w:tr w:rsidR="00067A4E" w:rsidRPr="00067A4E" w14:paraId="539B2754" w14:textId="77777777" w:rsidTr="00067A4E">
              <w:trPr>
                <w:trHeight w:val="51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95B3D7"/>
                  <w:vAlign w:val="center"/>
                  <w:hideMark/>
                </w:tcPr>
                <w:p w14:paraId="1243F1AD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Canales de comunicación interna que cuenten con lineamientos de uso</w:t>
                  </w:r>
                </w:p>
              </w:tc>
            </w:tr>
            <w:tr w:rsidR="00067A4E" w:rsidRPr="00067A4E" w14:paraId="551DB3FB" w14:textId="77777777" w:rsidTr="00067A4E">
              <w:trPr>
                <w:trHeight w:val="1020"/>
              </w:trPr>
              <w:tc>
                <w:tcPr>
                  <w:tcW w:w="16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240A52D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Nombre del evento 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50D52CB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Evento (Reunión, taller, foro, seminario)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6B2DE600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Fecha del evento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ADD7DEF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Grupos de interés participantes </w:t>
                  </w:r>
                </w:p>
              </w:tc>
              <w:tc>
                <w:tcPr>
                  <w:tcW w:w="9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7E3512C3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Link del registro fotográfico del evento</w:t>
                  </w:r>
                </w:p>
              </w:tc>
            </w:tr>
            <w:tr w:rsidR="00067A4E" w:rsidRPr="00067A4E" w14:paraId="37054B7E" w14:textId="77777777" w:rsidTr="00067A4E">
              <w:trPr>
                <w:trHeight w:val="300"/>
              </w:trPr>
              <w:tc>
                <w:tcPr>
                  <w:tcW w:w="16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E88CF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36B3A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57DFD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8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F3EA8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9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39483" w14:textId="77777777" w:rsidR="00067A4E" w:rsidRPr="00067A4E" w:rsidRDefault="00067A4E" w:rsidP="00067A4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067A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2F3E5183" w14:textId="77777777" w:rsidR="00067A4E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0FC1704" w14:textId="2F6E22EB" w:rsidR="00067A4E" w:rsidRPr="00504025" w:rsidRDefault="00067A4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585118F9" w14:textId="77777777" w:rsidTr="00067A4E">
        <w:trPr>
          <w:trHeight w:val="3654"/>
        </w:trPr>
        <w:tc>
          <w:tcPr>
            <w:tcW w:w="9351" w:type="dxa"/>
            <w:vAlign w:val="center"/>
          </w:tcPr>
          <w:p w14:paraId="283B38D6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0300319A" w14:textId="77777777" w:rsidR="005F2AF2" w:rsidRPr="00504025" w:rsidRDefault="005F2AF2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1081"/>
              <w:gridCol w:w="1080"/>
              <w:gridCol w:w="1285"/>
              <w:gridCol w:w="1234"/>
              <w:gridCol w:w="1542"/>
            </w:tblGrid>
            <w:tr w:rsidR="005F2AF2" w:rsidRPr="00067A4E" w14:paraId="6980DC5D" w14:textId="77777777" w:rsidTr="00067A4E">
              <w:trPr>
                <w:trHeight w:val="900"/>
              </w:trPr>
              <w:tc>
                <w:tcPr>
                  <w:tcW w:w="1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397B9BD7" w14:textId="77777777" w:rsidR="005F2AF2" w:rsidRPr="00067A4E" w:rsidRDefault="005F2AF2" w:rsidP="00067A4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  <w:lang w:val="es-CO" w:eastAsia="es-ES_tradnl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 </w:t>
                  </w:r>
                  <w:r w:rsidRPr="00067A4E">
                    <w:rPr>
                      <w:rFonts w:asciiTheme="minorHAnsi" w:hAnsiTheme="minorHAnsi" w:cs="Arial"/>
                      <w:b/>
                      <w:noProof/>
                      <w:sz w:val="18"/>
                      <w:szCs w:val="20"/>
                    </w:rPr>
                    <w:t>Implementación de la gestión de la comunicación y promoción institucional (GCPI)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5616581B" w14:textId="77777777" w:rsidR="005F2AF2" w:rsidRPr="00067A4E" w:rsidRDefault="005F2AF2" w:rsidP="00067A4E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Meta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323EDBDA" w14:textId="77777777" w:rsidR="005F2AF2" w:rsidRPr="00067A4E" w:rsidRDefault="005F2AF2" w:rsidP="00067A4E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Avance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3084FE15" w14:textId="77777777" w:rsidR="005F2AF2" w:rsidRPr="00067A4E" w:rsidRDefault="005F2AF2" w:rsidP="00067A4E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% cumplimiento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791434D5" w14:textId="77777777" w:rsidR="005F2AF2" w:rsidRPr="00067A4E" w:rsidRDefault="005F2AF2" w:rsidP="00067A4E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Ponderación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173BBAFB" w14:textId="77777777" w:rsidR="005F2AF2" w:rsidRPr="00067A4E" w:rsidRDefault="005F2AF2" w:rsidP="00067A4E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% de cumplimiento ponderado</w:t>
                  </w:r>
                </w:p>
              </w:tc>
            </w:tr>
            <w:tr w:rsidR="00846366" w:rsidRPr="00067A4E" w14:paraId="0BD5EE79" w14:textId="77777777" w:rsidTr="00067A4E">
              <w:trPr>
                <w:trHeight w:val="300"/>
              </w:trPr>
              <w:tc>
                <w:tcPr>
                  <w:tcW w:w="1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0F92C9EF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Publicaciones internas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989C1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5FDE" w14:textId="77777777" w:rsidR="005F2AF2" w:rsidRPr="00067A4E" w:rsidRDefault="005F2AF2" w:rsidP="00067A4E">
                  <w:pPr>
                    <w:spacing w:line="240" w:lineRule="auto"/>
                    <w:jc w:val="left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8AEAC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1F352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906DED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</w:tr>
            <w:tr w:rsidR="00846366" w:rsidRPr="00067A4E" w14:paraId="1FC62AC9" w14:textId="77777777" w:rsidTr="00067A4E">
              <w:trPr>
                <w:trHeight w:val="300"/>
              </w:trPr>
              <w:tc>
                <w:tcPr>
                  <w:tcW w:w="1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292A557A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Publicaciones externas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E1AA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72761" w14:textId="77777777" w:rsidR="005F2AF2" w:rsidRPr="00067A4E" w:rsidRDefault="005F2AF2" w:rsidP="00067A4E">
                  <w:pPr>
                    <w:spacing w:line="240" w:lineRule="auto"/>
                    <w:jc w:val="left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E67F0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48C4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2543A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</w:tr>
            <w:tr w:rsidR="00846366" w:rsidRPr="00067A4E" w14:paraId="6C1094E9" w14:textId="77777777" w:rsidTr="00067A4E">
              <w:trPr>
                <w:trHeight w:val="300"/>
              </w:trPr>
              <w:tc>
                <w:tcPr>
                  <w:tcW w:w="1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10642236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Documentos de lineamiento institucional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12624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11995" w14:textId="77777777" w:rsidR="005F2AF2" w:rsidRPr="00067A4E" w:rsidRDefault="005F2AF2" w:rsidP="00067A4E">
                  <w:pPr>
                    <w:spacing w:line="240" w:lineRule="auto"/>
                    <w:jc w:val="left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F2F31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217E9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C0674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</w:tr>
            <w:tr w:rsidR="00846366" w:rsidRPr="00067A4E" w14:paraId="42F9A3D7" w14:textId="77777777" w:rsidTr="00067A4E">
              <w:trPr>
                <w:trHeight w:val="300"/>
              </w:trPr>
              <w:tc>
                <w:tcPr>
                  <w:tcW w:w="1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5B3D7"/>
                  <w:vAlign w:val="center"/>
                  <w:hideMark/>
                </w:tcPr>
                <w:p w14:paraId="532DA9C0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Espacios de interacción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61560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EC98F" w14:textId="77777777" w:rsidR="005F2AF2" w:rsidRPr="00067A4E" w:rsidRDefault="005F2AF2" w:rsidP="00067A4E">
                  <w:pPr>
                    <w:spacing w:line="240" w:lineRule="auto"/>
                    <w:jc w:val="left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49F0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C77F8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341A2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</w:tr>
            <w:tr w:rsidR="005F2AF2" w:rsidRPr="00067A4E" w14:paraId="4FE330BD" w14:textId="77777777" w:rsidTr="00067A4E">
              <w:trPr>
                <w:trHeight w:val="300"/>
              </w:trPr>
              <w:tc>
                <w:tcPr>
                  <w:tcW w:w="1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7E0F4D96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0"/>
                    </w:rPr>
                    <w:t>Resultado del Indicador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2C207592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0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744B221A" w14:textId="77777777" w:rsidR="005F2AF2" w:rsidRPr="00067A4E" w:rsidRDefault="005F2AF2" w:rsidP="00067A4E">
                  <w:pPr>
                    <w:spacing w:line="240" w:lineRule="auto"/>
                    <w:jc w:val="left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16824E7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35C634C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5A5A28FC" w14:textId="77777777" w:rsidR="005F2AF2" w:rsidRPr="00067A4E" w:rsidRDefault="005F2AF2" w:rsidP="00067A4E">
                  <w:pPr>
                    <w:spacing w:line="240" w:lineRule="auto"/>
                    <w:rPr>
                      <w:rFonts w:ascii="Calibri" w:hAnsi="Calibri"/>
                      <w:color w:val="000000"/>
                      <w:sz w:val="18"/>
                      <w:szCs w:val="22"/>
                    </w:rPr>
                  </w:pPr>
                  <w:r w:rsidRPr="00067A4E">
                    <w:rPr>
                      <w:rFonts w:ascii="Calibri" w:hAnsi="Calibri"/>
                      <w:color w:val="000000"/>
                      <w:sz w:val="18"/>
                      <w:szCs w:val="22"/>
                    </w:rPr>
                    <w:t> </w:t>
                  </w:r>
                </w:p>
              </w:tc>
            </w:tr>
          </w:tbl>
          <w:p w14:paraId="59D19514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A37FA33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0864608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A3949AC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2CBF7C4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75ED0174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205DA485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437D5304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A390FA5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5A1A005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28BC374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AE65C7F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36D5F54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930AC1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6B45F63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7604A23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ACFA47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931711" w:rsidRPr="00CF29F3" w14:paraId="7656E21F" w14:textId="77777777" w:rsidTr="00CF29F3">
        <w:trPr>
          <w:jc w:val="center"/>
        </w:trPr>
        <w:tc>
          <w:tcPr>
            <w:tcW w:w="1129" w:type="dxa"/>
            <w:vAlign w:val="center"/>
          </w:tcPr>
          <w:p w14:paraId="72777576" w14:textId="40790180" w:rsidR="00931711" w:rsidRPr="00CF29F3" w:rsidRDefault="00931711" w:rsidP="009317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BE21D7C" w14:textId="68360899" w:rsidR="00931711" w:rsidRPr="00CF29F3" w:rsidRDefault="00931711" w:rsidP="0093171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C92145B" w14:textId="77F171C3" w:rsidR="00931711" w:rsidRPr="00CF29F3" w:rsidRDefault="00931711" w:rsidP="009317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6B23E011" w14:textId="77BD7E0E" w:rsidR="00931711" w:rsidRPr="00CF29F3" w:rsidRDefault="00931711" w:rsidP="0093171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5A57D36D" w14:textId="1571B5BD" w:rsidR="00931711" w:rsidRPr="00CF29F3" w:rsidRDefault="00931711" w:rsidP="00931711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7E2DC42E" w14:textId="77777777" w:rsidR="00E8012E" w:rsidRDefault="00E8012E" w:rsidP="00DE3F3B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3CCC21E8" w14:textId="77777777" w:rsidR="004B7D3A" w:rsidRDefault="004B7D3A" w:rsidP="00DE3F3B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7E3D8B3B" w14:textId="77777777" w:rsidR="004B7D3A" w:rsidRDefault="004B7D3A" w:rsidP="00DE3F3B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1A13615A" w14:textId="77777777" w:rsidR="004B7D3A" w:rsidRDefault="004B7D3A" w:rsidP="00DE3F3B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748A8A8A" w14:textId="77777777" w:rsidR="004B7D3A" w:rsidRPr="004B7D3A" w:rsidRDefault="004B7D3A" w:rsidP="00DE3F3B">
      <w:pPr>
        <w:spacing w:line="0" w:lineRule="atLeast"/>
        <w:rPr>
          <w:rFonts w:asciiTheme="minorHAnsi" w:hAnsiTheme="minorHAnsi" w:cs="Arial"/>
          <w:b/>
          <w:bCs/>
          <w:sz w:val="20"/>
          <w:szCs w:val="20"/>
          <w:lang w:val="es-CO"/>
        </w:rPr>
      </w:pPr>
    </w:p>
    <w:sectPr w:rsidR="004B7D3A" w:rsidRPr="004B7D3A" w:rsidSect="00DE3F3B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480E" w14:textId="77777777" w:rsidR="00190DF0" w:rsidRDefault="00190DF0">
      <w:r>
        <w:separator/>
      </w:r>
    </w:p>
  </w:endnote>
  <w:endnote w:type="continuationSeparator" w:id="0">
    <w:p w14:paraId="7FE40806" w14:textId="77777777" w:rsidR="00190DF0" w:rsidRDefault="001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D4B3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0D169" w14:textId="77777777" w:rsidR="00190DF0" w:rsidRDefault="00190DF0">
      <w:r>
        <w:separator/>
      </w:r>
    </w:p>
  </w:footnote>
  <w:footnote w:type="continuationSeparator" w:id="0">
    <w:p w14:paraId="28D0DEF2" w14:textId="77777777" w:rsidR="00190DF0" w:rsidRDefault="0019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3ECD859C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75BE73A4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A6A56FA" wp14:editId="3C979F25">
                <wp:extent cx="1171185" cy="854648"/>
                <wp:effectExtent l="0" t="0" r="0" b="3175"/>
                <wp:docPr id="1115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6675B4F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66269B92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722B20E1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5B643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9946B4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3A680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BC2663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3C766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984CAD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3025629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D7E58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8D69EC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303CF2B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433AB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30DA8C" w14:textId="3589DF15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4853D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4853D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D37553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D8B8EF5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46B83"/>
    <w:multiLevelType w:val="hybridMultilevel"/>
    <w:tmpl w:val="1F84895A"/>
    <w:lvl w:ilvl="0" w:tplc="C36237F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ADC"/>
    <w:multiLevelType w:val="hybridMultilevel"/>
    <w:tmpl w:val="8C3661AA"/>
    <w:lvl w:ilvl="0" w:tplc="243A0E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54591"/>
    <w:multiLevelType w:val="multilevel"/>
    <w:tmpl w:val="2786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424DB"/>
    <w:multiLevelType w:val="hybridMultilevel"/>
    <w:tmpl w:val="218674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506F4"/>
    <w:multiLevelType w:val="hybridMultilevel"/>
    <w:tmpl w:val="C0BECE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F02C8"/>
    <w:multiLevelType w:val="hybridMultilevel"/>
    <w:tmpl w:val="CCB025A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19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20"/>
  </w:num>
  <w:num w:numId="11">
    <w:abstractNumId w:val="4"/>
  </w:num>
  <w:num w:numId="12">
    <w:abstractNumId w:val="16"/>
  </w:num>
  <w:num w:numId="13">
    <w:abstractNumId w:val="5"/>
  </w:num>
  <w:num w:numId="14">
    <w:abstractNumId w:val="1"/>
  </w:num>
  <w:num w:numId="15">
    <w:abstractNumId w:val="15"/>
  </w:num>
  <w:num w:numId="16">
    <w:abstractNumId w:val="23"/>
  </w:num>
  <w:num w:numId="17">
    <w:abstractNumId w:val="0"/>
  </w:num>
  <w:num w:numId="18">
    <w:abstractNumId w:val="6"/>
  </w:num>
  <w:num w:numId="19">
    <w:abstractNumId w:val="9"/>
  </w:num>
  <w:num w:numId="20">
    <w:abstractNumId w:val="7"/>
  </w:num>
  <w:num w:numId="21">
    <w:abstractNumId w:val="3"/>
  </w:num>
  <w:num w:numId="22">
    <w:abstractNumId w:val="21"/>
  </w:num>
  <w:num w:numId="23">
    <w:abstractNumId w:val="13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5C92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67A4E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51A7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222C"/>
    <w:rsid w:val="00136324"/>
    <w:rsid w:val="0013744F"/>
    <w:rsid w:val="00137FC8"/>
    <w:rsid w:val="00142984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0DF0"/>
    <w:rsid w:val="00191C0C"/>
    <w:rsid w:val="001930D0"/>
    <w:rsid w:val="00197301"/>
    <w:rsid w:val="001A00E6"/>
    <w:rsid w:val="001A09F7"/>
    <w:rsid w:val="001A5871"/>
    <w:rsid w:val="001A5B20"/>
    <w:rsid w:val="001B2889"/>
    <w:rsid w:val="001B722D"/>
    <w:rsid w:val="001C01F5"/>
    <w:rsid w:val="001C0C19"/>
    <w:rsid w:val="001C1AF5"/>
    <w:rsid w:val="001C296C"/>
    <w:rsid w:val="001C3EC1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1656A"/>
    <w:rsid w:val="00220EDD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066B"/>
    <w:rsid w:val="00272854"/>
    <w:rsid w:val="002734BE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6B81"/>
    <w:rsid w:val="00347179"/>
    <w:rsid w:val="00350C5F"/>
    <w:rsid w:val="00350E3D"/>
    <w:rsid w:val="00351784"/>
    <w:rsid w:val="00354025"/>
    <w:rsid w:val="00356827"/>
    <w:rsid w:val="0035731B"/>
    <w:rsid w:val="00360680"/>
    <w:rsid w:val="00361004"/>
    <w:rsid w:val="00364B2D"/>
    <w:rsid w:val="0036506A"/>
    <w:rsid w:val="0037268C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E6AB9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1247"/>
    <w:rsid w:val="00462608"/>
    <w:rsid w:val="004668DD"/>
    <w:rsid w:val="00470821"/>
    <w:rsid w:val="00471699"/>
    <w:rsid w:val="00477120"/>
    <w:rsid w:val="0047742E"/>
    <w:rsid w:val="00477EAB"/>
    <w:rsid w:val="00483046"/>
    <w:rsid w:val="0048394E"/>
    <w:rsid w:val="004846BA"/>
    <w:rsid w:val="004853D0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A7B5B"/>
    <w:rsid w:val="004B13B6"/>
    <w:rsid w:val="004B1DC0"/>
    <w:rsid w:val="004B2E30"/>
    <w:rsid w:val="004B39A1"/>
    <w:rsid w:val="004B7D3A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3A6C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2C2"/>
    <w:rsid w:val="00536763"/>
    <w:rsid w:val="0054597A"/>
    <w:rsid w:val="00547BD0"/>
    <w:rsid w:val="0055396A"/>
    <w:rsid w:val="0056006D"/>
    <w:rsid w:val="00560492"/>
    <w:rsid w:val="00562A9B"/>
    <w:rsid w:val="00563FBB"/>
    <w:rsid w:val="005665A0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1EC3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5F2AF2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2472"/>
    <w:rsid w:val="00645AD7"/>
    <w:rsid w:val="0065175C"/>
    <w:rsid w:val="00651E49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5FAD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62AA"/>
    <w:rsid w:val="00767501"/>
    <w:rsid w:val="00771738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2FCD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6366"/>
    <w:rsid w:val="00847891"/>
    <w:rsid w:val="008553FC"/>
    <w:rsid w:val="00863C18"/>
    <w:rsid w:val="00865900"/>
    <w:rsid w:val="008664F5"/>
    <w:rsid w:val="008752B3"/>
    <w:rsid w:val="00887377"/>
    <w:rsid w:val="0089045D"/>
    <w:rsid w:val="008924D7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1711"/>
    <w:rsid w:val="00935D2F"/>
    <w:rsid w:val="00942926"/>
    <w:rsid w:val="0094406A"/>
    <w:rsid w:val="00946B10"/>
    <w:rsid w:val="00946C81"/>
    <w:rsid w:val="00947BE5"/>
    <w:rsid w:val="00953228"/>
    <w:rsid w:val="009552FA"/>
    <w:rsid w:val="00957C4E"/>
    <w:rsid w:val="00967A53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1DE8"/>
    <w:rsid w:val="009B62EB"/>
    <w:rsid w:val="009B7E18"/>
    <w:rsid w:val="009C17EA"/>
    <w:rsid w:val="009C2CF9"/>
    <w:rsid w:val="009D28C7"/>
    <w:rsid w:val="009D3DE4"/>
    <w:rsid w:val="009E1F40"/>
    <w:rsid w:val="009E7E52"/>
    <w:rsid w:val="009F3783"/>
    <w:rsid w:val="009F46B9"/>
    <w:rsid w:val="009F5809"/>
    <w:rsid w:val="00A00D6F"/>
    <w:rsid w:val="00A019FD"/>
    <w:rsid w:val="00A063C6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561E7"/>
    <w:rsid w:val="00A61513"/>
    <w:rsid w:val="00A63B68"/>
    <w:rsid w:val="00A64DB0"/>
    <w:rsid w:val="00A7054E"/>
    <w:rsid w:val="00A762F7"/>
    <w:rsid w:val="00A81B24"/>
    <w:rsid w:val="00A8724C"/>
    <w:rsid w:val="00A909DD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2798"/>
    <w:rsid w:val="00AE379A"/>
    <w:rsid w:val="00AE7DC8"/>
    <w:rsid w:val="00AF1DD5"/>
    <w:rsid w:val="00AF3D94"/>
    <w:rsid w:val="00AF4897"/>
    <w:rsid w:val="00AF5620"/>
    <w:rsid w:val="00AF7C14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5440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527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3A00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0271"/>
    <w:rsid w:val="00C7349C"/>
    <w:rsid w:val="00C778DF"/>
    <w:rsid w:val="00C77EC3"/>
    <w:rsid w:val="00C81CE9"/>
    <w:rsid w:val="00C82301"/>
    <w:rsid w:val="00C85E8F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2472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3BD7"/>
    <w:rsid w:val="00DC6280"/>
    <w:rsid w:val="00DC7631"/>
    <w:rsid w:val="00DD2985"/>
    <w:rsid w:val="00DD7122"/>
    <w:rsid w:val="00DE3F3B"/>
    <w:rsid w:val="00DE6485"/>
    <w:rsid w:val="00DE738A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2D"/>
    <w:rsid w:val="00E12BDA"/>
    <w:rsid w:val="00E14E7B"/>
    <w:rsid w:val="00E170AF"/>
    <w:rsid w:val="00E30539"/>
    <w:rsid w:val="00E31AE1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52B1"/>
    <w:rsid w:val="00ED7F0E"/>
    <w:rsid w:val="00EE005E"/>
    <w:rsid w:val="00EE3E21"/>
    <w:rsid w:val="00EE594B"/>
    <w:rsid w:val="00EE5B05"/>
    <w:rsid w:val="00EF4CE4"/>
    <w:rsid w:val="00EF7EDC"/>
    <w:rsid w:val="00F019B5"/>
    <w:rsid w:val="00F02B8C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67617"/>
    <w:rsid w:val="00F75307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C05483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NormalWeb">
    <w:name w:val="Normal (Web)"/>
    <w:basedOn w:val="Normal"/>
    <w:uiPriority w:val="99"/>
    <w:semiHidden/>
    <w:unhideWhenUsed/>
    <w:rsid w:val="0077173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viviana marcela carmona arias</cp:lastModifiedBy>
  <cp:revision>7</cp:revision>
  <cp:lastPrinted>2008-11-24T15:14:00Z</cp:lastPrinted>
  <dcterms:created xsi:type="dcterms:W3CDTF">2020-04-15T13:22:00Z</dcterms:created>
  <dcterms:modified xsi:type="dcterms:W3CDTF">2020-05-26T12:37:00Z</dcterms:modified>
</cp:coreProperties>
</file>