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Información General</w:t>
      </w:r>
    </w:p>
    <w:p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1E0" w:firstRow="1" w:lastRow="1" w:firstColumn="1" w:lastColumn="1" w:noHBand="0" w:noVBand="0"/>
      </w:tblPr>
      <w:tblGrid>
        <w:gridCol w:w="2207"/>
        <w:gridCol w:w="1104"/>
        <w:gridCol w:w="1104"/>
        <w:gridCol w:w="2207"/>
        <w:gridCol w:w="2208"/>
      </w:tblGrid>
      <w:tr w:rsidR="00E8012E" w:rsidRPr="00504025" w:rsidTr="000473A1">
        <w:trPr>
          <w:trHeight w:val="388"/>
          <w:jc w:val="center"/>
        </w:trPr>
        <w:tc>
          <w:tcPr>
            <w:tcW w:w="2207" w:type="dxa"/>
            <w:shd w:val="clear" w:color="auto" w:fill="17365D" w:themeFill="text2" w:themeFillShade="BF"/>
            <w:vAlign w:val="center"/>
          </w:tcPr>
          <w:p w:rsidR="00E8012E" w:rsidRPr="00E53D08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Estado</w:t>
            </w:r>
          </w:p>
        </w:tc>
        <w:tc>
          <w:tcPr>
            <w:tcW w:w="2207" w:type="dxa"/>
            <w:shd w:val="clear" w:color="auto" w:fill="17365D" w:themeFill="text2" w:themeFillShade="BF"/>
            <w:vAlign w:val="center"/>
          </w:tcPr>
          <w:p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creación</w:t>
            </w:r>
          </w:p>
        </w:tc>
        <w:tc>
          <w:tcPr>
            <w:tcW w:w="2208" w:type="dxa"/>
            <w:shd w:val="clear" w:color="auto" w:fill="17365D" w:themeFill="text2" w:themeFillShade="BF"/>
            <w:vAlign w:val="center"/>
          </w:tcPr>
          <w:p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última modificación</w:t>
            </w:r>
          </w:p>
        </w:tc>
      </w:tr>
      <w:tr w:rsidR="00E32C93" w:rsidRPr="00504025" w:rsidTr="000473A1">
        <w:trPr>
          <w:trHeight w:val="329"/>
          <w:jc w:val="center"/>
        </w:trPr>
        <w:tc>
          <w:tcPr>
            <w:tcW w:w="2207" w:type="dxa"/>
            <w:shd w:val="clear" w:color="auto" w:fill="FFFFFF" w:themeFill="background1"/>
            <w:vAlign w:val="center"/>
          </w:tcPr>
          <w:p w:rsidR="00E32C93" w:rsidRPr="00504025" w:rsidRDefault="00E32C93" w:rsidP="00E32C93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bookmarkStart w:id="0" w:name="_GoBack" w:colFirst="3" w:colLast="4"/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GSV0003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-</w:t>
            </w: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E32C93" w:rsidRPr="0041438F" w:rsidRDefault="00E32C93" w:rsidP="00E32C93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E32C93" w:rsidRPr="0041438F" w:rsidRDefault="00E32C93" w:rsidP="00E32C93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Activo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:rsidR="00E32C93" w:rsidRPr="0041438F" w:rsidRDefault="00E32C93" w:rsidP="00E32C93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E32C93" w:rsidRPr="0041438F" w:rsidRDefault="00E32C93" w:rsidP="00E32C93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</w:tr>
      <w:bookmarkEnd w:id="0"/>
      <w:tr w:rsidR="00E8012E" w:rsidRPr="00504025" w:rsidTr="00B05843">
        <w:trPr>
          <w:trHeight w:val="286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Nombre: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Programas académicos con visibilidad internacional</w:t>
            </w:r>
          </w:p>
        </w:tc>
      </w:tr>
      <w:tr w:rsidR="00E8012E" w:rsidRPr="00504025" w:rsidTr="0041438F">
        <w:trPr>
          <w:trHeight w:val="273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494540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Descripción: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Mide el avance de la internacionalización de los programas académicos, en términos de movilidad, modernización de currículos y trabajo en red.</w:t>
            </w:r>
          </w:p>
        </w:tc>
      </w:tr>
      <w:tr w:rsidR="00E8012E" w:rsidRPr="00504025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Pilar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:</w:t>
            </w:r>
            <w:r w:rsidRPr="00CF29F3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Gestión del Contexto y Visibilidad Nacional e Internacional</w:t>
            </w:r>
          </w:p>
        </w:tc>
      </w:tr>
      <w:tr w:rsidR="00E8012E" w:rsidRPr="00504025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:rsidR="00E8012E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Impulsor(es) estratégico(s) al que aporta: </w:t>
            </w:r>
            <w:r w:rsidR="00E25004" w:rsidRPr="00E2500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Lograr que los programas académicos tengan contexto y reconocimiento internacional</w:t>
            </w:r>
          </w:p>
        </w:tc>
      </w:tr>
      <w:tr w:rsidR="00E8012E" w:rsidRPr="00504025" w:rsidTr="00B05843">
        <w:trPr>
          <w:trHeight w:val="146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084BF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Nivel de Gestión: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396"/>
              <w:gridCol w:w="1640"/>
              <w:gridCol w:w="374"/>
            </w:tblGrid>
            <w:tr w:rsidR="00E8012E" w:rsidRPr="00504025" w:rsidTr="000473A1">
              <w:trPr>
                <w:jc w:val="center"/>
              </w:trPr>
              <w:tc>
                <w:tcPr>
                  <w:tcW w:w="1194" w:type="dxa"/>
                </w:tcPr>
                <w:p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Estratégico</w:t>
                  </w:r>
                </w:p>
              </w:tc>
              <w:tc>
                <w:tcPr>
                  <w:tcW w:w="396" w:type="dxa"/>
                </w:tcPr>
                <w:p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40" w:type="dxa"/>
                </w:tcPr>
                <w:p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Táctico</w:t>
                  </w:r>
                </w:p>
              </w:tc>
              <w:tc>
                <w:tcPr>
                  <w:tcW w:w="374" w:type="dxa"/>
                </w:tcPr>
                <w:p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2"/>
                <w:szCs w:val="20"/>
                <w:lang w:val="es-CO"/>
              </w:rPr>
            </w:pPr>
          </w:p>
          <w:p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4"/>
                <w:szCs w:val="20"/>
                <w:lang w:val="es-CO"/>
              </w:rPr>
            </w:pPr>
          </w:p>
        </w:tc>
      </w:tr>
      <w:tr w:rsidR="00E8012E" w:rsidRPr="00504025" w:rsidTr="00B05843">
        <w:trPr>
          <w:trHeight w:val="92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FB6C7A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roceso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Sistema Integral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  <w:r w:rsidR="00FB6C7A" w:rsidRPr="00C51A6F">
              <w:rPr>
                <w:rFonts w:asciiTheme="minorHAnsi" w:hAnsiTheme="minorHAnsi" w:cs="Arial"/>
                <w:sz w:val="20"/>
                <w:szCs w:val="20"/>
                <w:lang w:val="es-CO"/>
              </w:rPr>
              <w:t>Internacionalización y Direccionamiento Institucional.</w:t>
            </w:r>
          </w:p>
        </w:tc>
      </w:tr>
      <w:tr w:rsidR="00E8012E" w:rsidRPr="00504025" w:rsidTr="00B05843">
        <w:trPr>
          <w:trHeight w:val="268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456052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B25EA6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Factor/Característica de autoevaluación institucional al que apunta:</w:t>
            </w:r>
          </w:p>
          <w:p w:rsidR="005D0E4E" w:rsidRPr="00787881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1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.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MISIÓN Y PROYECTO INSTITUCIONAL</w:t>
            </w:r>
          </w:p>
          <w:p w:rsidR="005D0E4E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2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  <w:r w:rsidRPr="00DA47B1">
              <w:rPr>
                <w:rFonts w:asciiTheme="minorHAnsi" w:hAnsiTheme="minorHAnsi" w:cs="Arial"/>
                <w:sz w:val="20"/>
                <w:szCs w:val="20"/>
                <w:lang w:val="es-CO"/>
              </w:rPr>
              <w:t>Orientaciones y estrategias del Proyecto Educativo Institucional.</w:t>
            </w:r>
          </w:p>
          <w:p w:rsidR="005D0E4E" w:rsidRPr="00DA47B1" w:rsidRDefault="005D0E4E" w:rsidP="005D0E4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 3. </w:t>
            </w:r>
            <w:r w:rsidRPr="00DA47B1">
              <w:rPr>
                <w:rFonts w:asciiTheme="minorHAnsi" w:hAnsiTheme="minorHAnsi" w:cs="Arial"/>
                <w:sz w:val="20"/>
                <w:szCs w:val="20"/>
                <w:lang w:val="es-CO"/>
              </w:rPr>
              <w:t>Formación integral y construcción de la comunidad académica en el Proyecto Educativo Institucional.</w:t>
            </w:r>
          </w:p>
          <w:p w:rsidR="005D0E4E" w:rsidRDefault="005D0E4E" w:rsidP="005D0E4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:rsidR="005D0E4E" w:rsidRPr="00787881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2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ESTUDIANTES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</w:p>
          <w:p w:rsidR="005D0E4E" w:rsidRPr="001562F7" w:rsidRDefault="005D0E4E" w:rsidP="005D0E4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5. 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Admisión y permanencia de estudiantes.</w:t>
            </w:r>
          </w:p>
          <w:p w:rsidR="005D0E4E" w:rsidRPr="001562F7" w:rsidRDefault="005D0E4E" w:rsidP="005D0E4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6. 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Sistemas de estímulos y créditos para estudiantes.</w:t>
            </w:r>
          </w:p>
          <w:p w:rsidR="005D0E4E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p w:rsidR="005D0E4E" w:rsidRPr="00787881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3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PROFESORES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</w:p>
          <w:p w:rsidR="005D0E4E" w:rsidRDefault="005D0E4E" w:rsidP="005D0E4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8. 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Planta profesoral.</w:t>
            </w:r>
          </w:p>
          <w:p w:rsidR="005D0E4E" w:rsidRPr="00FA0085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FA008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Característica: 11. </w:t>
            </w:r>
            <w:r w:rsidRPr="00C34786">
              <w:rPr>
                <w:rFonts w:asciiTheme="minorHAnsi" w:hAnsiTheme="minorHAnsi" w:cs="Arial"/>
                <w:sz w:val="20"/>
                <w:szCs w:val="20"/>
                <w:lang w:val="es-CO"/>
              </w:rPr>
              <w:t>Interacción académica de los profesores.</w:t>
            </w:r>
          </w:p>
          <w:p w:rsidR="005D0E4E" w:rsidRDefault="005D0E4E" w:rsidP="005D0E4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:rsidR="005D0E4E" w:rsidRPr="00FA0085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FA008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FACTOR: 4. PROCESOS ACADÉMICOS.</w:t>
            </w:r>
          </w:p>
          <w:p w:rsidR="005D0E4E" w:rsidRPr="00FA0085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FA008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Característica: 12. </w:t>
            </w:r>
            <w:r w:rsidRPr="00C34786">
              <w:rPr>
                <w:rFonts w:asciiTheme="minorHAnsi" w:hAnsiTheme="minorHAnsi" w:cs="Arial"/>
                <w:sz w:val="20"/>
                <w:szCs w:val="20"/>
                <w:lang w:val="es-CO"/>
              </w:rPr>
              <w:t>Políticas académicas.</w:t>
            </w:r>
          </w:p>
          <w:p w:rsidR="005D0E4E" w:rsidRPr="00FA0085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FA008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Característica: 13. </w:t>
            </w:r>
            <w:r w:rsidRPr="00C34786">
              <w:rPr>
                <w:rFonts w:asciiTheme="minorHAnsi" w:hAnsiTheme="minorHAnsi" w:cs="Arial"/>
                <w:sz w:val="20"/>
                <w:szCs w:val="20"/>
                <w:lang w:val="es-CO"/>
              </w:rPr>
              <w:t>Pertinencia académica y relevancia social.</w:t>
            </w:r>
          </w:p>
          <w:p w:rsidR="005D0E4E" w:rsidRPr="00FA0085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Característica: 14</w:t>
            </w:r>
            <w:r w:rsidRPr="00FA008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. </w:t>
            </w:r>
            <w:r w:rsidRPr="00C34786">
              <w:rPr>
                <w:rFonts w:asciiTheme="minorHAnsi" w:hAnsiTheme="minorHAnsi" w:cs="Arial"/>
                <w:sz w:val="20"/>
                <w:szCs w:val="20"/>
                <w:lang w:val="es-CO"/>
              </w:rPr>
              <w:t>Procesos de creación, modificación y extensión de programas académicos.</w:t>
            </w:r>
          </w:p>
          <w:p w:rsidR="005D0E4E" w:rsidRPr="00FA0085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p w:rsidR="005D0E4E" w:rsidRPr="00FA0085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FA008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FACTOR: 5. VISIBILIDAD NACIONAL E INTERNACIONAL.</w:t>
            </w:r>
          </w:p>
          <w:p w:rsidR="005D0E4E" w:rsidRPr="00B0253E" w:rsidRDefault="005D0E4E" w:rsidP="005D0E4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A008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Característica: 15. </w:t>
            </w:r>
            <w:r w:rsidRPr="00B0253E">
              <w:rPr>
                <w:rFonts w:asciiTheme="minorHAnsi" w:hAnsiTheme="minorHAnsi" w:cs="Arial"/>
                <w:sz w:val="20"/>
                <w:szCs w:val="20"/>
                <w:lang w:val="es-CO"/>
              </w:rPr>
              <w:t>Inserción de la institución en contextos académicos nacionales e internacionales.</w:t>
            </w:r>
          </w:p>
          <w:p w:rsidR="005D0E4E" w:rsidRPr="00FA0085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FA008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Característica: 16. </w:t>
            </w:r>
            <w:r w:rsidRPr="00B0253E">
              <w:rPr>
                <w:rFonts w:asciiTheme="minorHAnsi" w:hAnsiTheme="minorHAnsi" w:cs="Arial"/>
                <w:sz w:val="20"/>
                <w:szCs w:val="20"/>
                <w:lang w:val="es-CO"/>
              </w:rPr>
              <w:t>Relaciones externas de profesores y estudiantes.</w:t>
            </w:r>
          </w:p>
          <w:p w:rsidR="005D0E4E" w:rsidRDefault="005D0E4E" w:rsidP="005D0E4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:rsidR="005D0E4E" w:rsidRPr="00787881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6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INVESTIGACIÓN Y CREACIÓN ARTÍSTICA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</w:p>
          <w:p w:rsidR="005D0E4E" w:rsidRDefault="005D0E4E" w:rsidP="005D0E4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17. </w:t>
            </w:r>
            <w:r w:rsidRPr="00703E9B">
              <w:rPr>
                <w:rFonts w:asciiTheme="minorHAnsi" w:hAnsiTheme="minorHAnsi" w:cs="Arial"/>
                <w:sz w:val="20"/>
                <w:szCs w:val="20"/>
                <w:lang w:val="es-CO"/>
              </w:rPr>
              <w:t>Formación para la investigación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  <w:p w:rsidR="005D0E4E" w:rsidRDefault="005D0E4E" w:rsidP="005D0E4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:rsidR="005D0E4E" w:rsidRPr="00787881" w:rsidRDefault="005D0E4E" w:rsidP="005D0E4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7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PERTINENCIA E IMPACTO SOCIAL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</w:p>
          <w:p w:rsidR="005D0E4E" w:rsidRDefault="005D0E4E" w:rsidP="005D0E4E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Característica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19. </w:t>
            </w:r>
            <w:r w:rsidRPr="00703E9B">
              <w:rPr>
                <w:rFonts w:asciiTheme="minorHAnsi" w:hAnsiTheme="minorHAnsi" w:cs="Arial"/>
                <w:sz w:val="20"/>
                <w:szCs w:val="20"/>
                <w:lang w:val="es-CO"/>
              </w:rPr>
              <w:t>Institución y entorno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  <w:p w:rsidR="00E8012E" w:rsidRPr="00787881" w:rsidRDefault="00E8012E" w:rsidP="00D95F71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</w:tc>
      </w:tr>
      <w:tr w:rsidR="00E8012E" w:rsidRPr="00504025" w:rsidTr="00EA0513">
        <w:trPr>
          <w:trHeight w:val="1061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lastRenderedPageBreak/>
              <w:t xml:space="preserve">Periodicidad de medición: </w:t>
            </w:r>
          </w:p>
          <w:p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07"/>
              <w:gridCol w:w="1653"/>
              <w:gridCol w:w="473"/>
              <w:gridCol w:w="798"/>
              <w:gridCol w:w="428"/>
            </w:tblGrid>
            <w:tr w:rsidR="00E8012E" w:rsidRPr="00504025" w:rsidTr="000473A1">
              <w:trPr>
                <w:jc w:val="center"/>
              </w:trPr>
              <w:tc>
                <w:tcPr>
                  <w:tcW w:w="1194" w:type="dxa"/>
                </w:tcPr>
                <w:p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Trimestral</w:t>
                  </w:r>
                </w:p>
              </w:tc>
              <w:tc>
                <w:tcPr>
                  <w:tcW w:w="407" w:type="dxa"/>
                </w:tcPr>
                <w:p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</w:tcPr>
                <w:p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Semestral</w:t>
                  </w:r>
                </w:p>
              </w:tc>
              <w:tc>
                <w:tcPr>
                  <w:tcW w:w="473" w:type="dxa"/>
                </w:tcPr>
                <w:p w:rsidR="00E8012E" w:rsidRPr="00504025" w:rsidRDefault="004F06DC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 xml:space="preserve"> X</w:t>
                  </w:r>
                </w:p>
              </w:tc>
              <w:tc>
                <w:tcPr>
                  <w:tcW w:w="798" w:type="dxa"/>
                </w:tcPr>
                <w:p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Anual</w:t>
                  </w:r>
                </w:p>
              </w:tc>
              <w:tc>
                <w:tcPr>
                  <w:tcW w:w="428" w:type="dxa"/>
                </w:tcPr>
                <w:p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</w:tc>
      </w:tr>
      <w:tr w:rsidR="00C51A6F" w:rsidRPr="00C51A6F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:rsidR="00E8012E" w:rsidRPr="00C51A6F" w:rsidRDefault="00E8012E" w:rsidP="00FC2F1B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C51A6F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Fuentes de datos:</w:t>
            </w:r>
            <w:r w:rsidRPr="00C51A6F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="00FC2F1B" w:rsidRPr="00C51A6F">
              <w:rPr>
                <w:rFonts w:asciiTheme="minorHAnsi" w:hAnsiTheme="minorHAnsi" w:cs="Arial"/>
                <w:sz w:val="20"/>
                <w:szCs w:val="20"/>
                <w:lang w:val="es-CO"/>
              </w:rPr>
              <w:t>Relaciones Internacionales, Programas Académicos, Facultades, Vicerrectoría Académica</w:t>
            </w:r>
            <w:r w:rsidR="00120F95" w:rsidRPr="00C51A6F"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</w:tc>
      </w:tr>
      <w:tr w:rsidR="00E8012E" w:rsidRPr="00504025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D01AC4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cálculo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Relaciones Internacionales</w:t>
            </w:r>
          </w:p>
        </w:tc>
      </w:tr>
      <w:tr w:rsidR="00E8012E" w:rsidRPr="00504025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D95F71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 Gestión: </w:t>
            </w:r>
            <w:r w:rsidR="00525CA9" w:rsidRPr="00525CA9">
              <w:rPr>
                <w:rFonts w:asciiTheme="minorHAnsi" w:hAnsiTheme="minorHAnsi" w:cs="Arial"/>
                <w:sz w:val="20"/>
                <w:szCs w:val="20"/>
                <w:lang w:val="es-CO"/>
              </w:rPr>
              <w:t>Vicerrectoría Académica,</w:t>
            </w:r>
            <w:r w:rsidR="00525CA9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  <w:r w:rsidR="00525CA9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Facultades,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Relaciones Internacionales</w:t>
            </w:r>
            <w:r w:rsidR="00120F95"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</w:tc>
      </w:tr>
    </w:tbl>
    <w:p w:rsidR="00E8012E" w:rsidRDefault="00E8012E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E8012E" w:rsidRPr="00504025" w:rsidRDefault="00E8012E" w:rsidP="00D241CD">
      <w:pPr>
        <w:pStyle w:val="Prrafodelista"/>
        <w:spacing w:line="0" w:lineRule="atLeast"/>
        <w:rPr>
          <w:rFonts w:ascii="Arial" w:hAnsi="Arial" w:cs="Arial"/>
          <w:b/>
          <w:sz w:val="20"/>
          <w:szCs w:val="20"/>
        </w:rPr>
      </w:pPr>
    </w:p>
    <w:p w:rsidR="00E8012E" w:rsidRPr="00504025" w:rsidRDefault="00E8012E" w:rsidP="001A5871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Glosario</w:t>
      </w:r>
    </w:p>
    <w:p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E8012E" w:rsidRPr="00504025" w:rsidTr="00D6274A">
        <w:trPr>
          <w:trHeight w:val="397"/>
        </w:trPr>
        <w:tc>
          <w:tcPr>
            <w:tcW w:w="8988" w:type="dxa"/>
            <w:vAlign w:val="center"/>
          </w:tcPr>
          <w:p w:rsidR="001317BB" w:rsidRDefault="001317BB" w:rsidP="00D241CD">
            <w:pPr>
              <w:spacing w:line="0" w:lineRule="atLeast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Internacionalización</w:t>
            </w:r>
            <w:r w:rsidR="00C51A6F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 xml:space="preserve">: </w:t>
            </w:r>
            <w:r w:rsidR="00C51A6F" w:rsidRPr="00C51A6F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"El proceso intencional de integrar una dimensión internacional, intercultural o global en el propósito, las funciones y la prestación de la educación postsecundaria, con el fin de mejorar la calidad de la educación y la investigación para todos los estudiantes y el staff, y hacer una contribución significativa a la sociedad .” (De Wit, Hunter, Egron-Polak, Howard 2015).</w:t>
            </w:r>
          </w:p>
          <w:p w:rsidR="001B26A2" w:rsidRDefault="001B26A2" w:rsidP="001B26A2">
            <w:pPr>
              <w:spacing w:line="0" w:lineRule="atLeast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</w:p>
          <w:p w:rsidR="00E8012E" w:rsidRDefault="001317BB" w:rsidP="001B26A2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 xml:space="preserve">Movilidad </w:t>
            </w:r>
            <w:r w:rsidR="001B26A2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Académica</w:t>
            </w:r>
            <w:r w:rsidR="00E8012E" w:rsidRPr="00CD44D0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: </w:t>
            </w:r>
            <w:r w:rsidR="00E8012E" w:rsidRPr="00CD44D0">
              <w:rPr>
                <w:rFonts w:asciiTheme="minorHAnsi" w:hAnsiTheme="minorHAnsi"/>
                <w:sz w:val="20"/>
                <w:szCs w:val="20"/>
                <w:lang w:val="es-CO"/>
              </w:rPr>
              <w:t> </w:t>
            </w:r>
            <w:r w:rsidR="001B26A2" w:rsidRPr="001B26A2">
              <w:rPr>
                <w:rFonts w:asciiTheme="minorHAnsi" w:hAnsiTheme="minorHAnsi"/>
                <w:sz w:val="20"/>
                <w:szCs w:val="20"/>
                <w:lang w:val="es-CO"/>
              </w:rPr>
              <w:t>La movilidad académica es un proceso que implica el desplazamiento físico de una persona desde su alma máter hacia otra institución</w:t>
            </w:r>
            <w:r w:rsidR="001B26A2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</w:t>
            </w:r>
            <w:r w:rsidR="001B26A2" w:rsidRPr="001B26A2">
              <w:rPr>
                <w:rFonts w:asciiTheme="minorHAnsi" w:hAnsiTheme="minorHAnsi"/>
                <w:sz w:val="20"/>
                <w:szCs w:val="20"/>
                <w:lang w:val="es-CO"/>
              </w:rPr>
              <w:t>con el propósito de realizar una actividad académica que complemente su conocimiento, formación o actividades de investigación.</w:t>
            </w:r>
          </w:p>
          <w:p w:rsidR="00B34E9C" w:rsidRDefault="00B34E9C" w:rsidP="00B34E9C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:rsidR="00B34E9C" w:rsidRDefault="00B34E9C" w:rsidP="00B34E9C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1B26A2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>Flexibilidad curricular:</w:t>
            </w:r>
            <w:r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Articulación de programas académicos en la misma institución o con otras instituciones, a partir del perfil del egresado, explícito en el currículo, y que permite al estudiante cursar materias en otros planes de estudio de la institución o de otras instituciones nacionales o extranjeras con propuestas similares en la formación. Los créditos académicos cursados y aprobados son reconocidos en el programa donde el estudiante está matriculado. Esta modalidad de flexibilización permite acuerdos de cooperación para doble titulación.</w:t>
            </w:r>
          </w:p>
          <w:p w:rsidR="00B34E9C" w:rsidRDefault="00B34E9C" w:rsidP="00B34E9C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:rsidR="00B34E9C" w:rsidRPr="00504025" w:rsidRDefault="00B34E9C" w:rsidP="00B34E9C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1B26A2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>Dimensión internacional en los currículos.</w:t>
            </w:r>
            <w:r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Fortalece los procesos de enseñanza y aprendizaje, al tiempo que responda a las nuevas realidades sociales, económicas, políticas, culturales y ambientales de la universidad del siglo XXI. Para ello, es importante promover convenios de cooperación, movilidad bilateral y participación en redes que integren actividades virtuales, trabajo colaborativo entre académicos, convalidación de asignaturas, homologación de títulos y asignaturas, asignaturas con lecturas y trabajos o pruebas en otros idiomas, acuerdos para la expedición de diplomas conjuntos, doble titulación entre otros.</w:t>
            </w:r>
          </w:p>
        </w:tc>
      </w:tr>
    </w:tbl>
    <w:p w:rsidR="00E8012E" w:rsidRPr="00504025" w:rsidRDefault="00E8012E" w:rsidP="001A5871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:rsidR="00E8012E" w:rsidRPr="00504025" w:rsidRDefault="00E8012E" w:rsidP="001A5871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Forma</w:t>
      </w:r>
      <w:r>
        <w:rPr>
          <w:rFonts w:asciiTheme="minorHAnsi" w:hAnsiTheme="minorHAnsi" w:cs="Arial"/>
          <w:b/>
          <w:sz w:val="20"/>
          <w:szCs w:val="20"/>
        </w:rPr>
        <w:t>,</w:t>
      </w:r>
      <w:r w:rsidRPr="00504025">
        <w:rPr>
          <w:rFonts w:asciiTheme="minorHAnsi" w:hAnsiTheme="minorHAnsi" w:cs="Arial"/>
          <w:b/>
          <w:sz w:val="20"/>
          <w:szCs w:val="20"/>
        </w:rPr>
        <w:t xml:space="preserve"> cálculo</w:t>
      </w:r>
      <w:r>
        <w:rPr>
          <w:rFonts w:asciiTheme="minorHAnsi" w:hAnsiTheme="minorHAnsi" w:cs="Arial"/>
          <w:b/>
          <w:sz w:val="20"/>
          <w:szCs w:val="20"/>
        </w:rPr>
        <w:t xml:space="preserve"> y presentación de resultados del indicador</w:t>
      </w:r>
    </w:p>
    <w:p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455"/>
      </w:tblGrid>
      <w:tr w:rsidR="00E8012E" w:rsidRPr="00504025" w:rsidTr="009F5809">
        <w:trPr>
          <w:trHeight w:val="397"/>
        </w:trPr>
        <w:tc>
          <w:tcPr>
            <w:tcW w:w="8988" w:type="dxa"/>
            <w:vAlign w:val="center"/>
          </w:tcPr>
          <w:p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Unidad de medida:</w:t>
            </w: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15"/>
              <w:gridCol w:w="1645"/>
              <w:gridCol w:w="464"/>
              <w:gridCol w:w="807"/>
              <w:gridCol w:w="415"/>
            </w:tblGrid>
            <w:tr w:rsidR="00E8012E" w:rsidRPr="00504025" w:rsidTr="000473A1">
              <w:trPr>
                <w:jc w:val="center"/>
              </w:trPr>
              <w:tc>
                <w:tcPr>
                  <w:tcW w:w="1194" w:type="dxa"/>
                </w:tcPr>
                <w:p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415" w:type="dxa"/>
                </w:tcPr>
                <w:p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45" w:type="dxa"/>
                </w:tcPr>
                <w:p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Unidad absoluta</w:t>
                  </w:r>
                </w:p>
              </w:tc>
              <w:tc>
                <w:tcPr>
                  <w:tcW w:w="464" w:type="dxa"/>
                </w:tcPr>
                <w:p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</w:tcPr>
                <w:p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Índice</w:t>
                  </w:r>
                </w:p>
              </w:tc>
              <w:tc>
                <w:tcPr>
                  <w:tcW w:w="415" w:type="dxa"/>
                </w:tcPr>
                <w:p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E8012E" w:rsidRPr="00504025" w:rsidTr="009F5809">
        <w:trPr>
          <w:trHeight w:val="397"/>
        </w:trPr>
        <w:tc>
          <w:tcPr>
            <w:tcW w:w="8988" w:type="dxa"/>
            <w:vAlign w:val="center"/>
          </w:tcPr>
          <w:p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 xml:space="preserve">Fórmula: </w:t>
            </w:r>
          </w:p>
          <w:p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8012E" w:rsidRPr="00CF29F3" w:rsidRDefault="00E8012E" w:rsidP="00CF29F3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Programas académicos con visibilidad internacional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=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(Número de Programas con contexto internacional (movilidad, modernización curricular, proyectos en red) / Número total de programas de la universidad) x 100</w:t>
            </w:r>
          </w:p>
        </w:tc>
      </w:tr>
      <w:tr w:rsidR="00E8012E" w:rsidRPr="00504025" w:rsidTr="009F5809">
        <w:trPr>
          <w:trHeight w:val="397"/>
        </w:trPr>
        <w:tc>
          <w:tcPr>
            <w:tcW w:w="8988" w:type="dxa"/>
            <w:vAlign w:val="center"/>
          </w:tcPr>
          <w:p w:rsidR="00E8012E" w:rsidRDefault="00E8012E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Consideraciones metodológicas para el cálculo:</w:t>
            </w:r>
          </w:p>
          <w:p w:rsidR="008A44F6" w:rsidRPr="001F3426" w:rsidRDefault="008A44F6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1F3426">
              <w:rPr>
                <w:rFonts w:asciiTheme="minorHAnsi" w:hAnsiTheme="minorHAnsi" w:cs="Arial"/>
                <w:sz w:val="20"/>
                <w:szCs w:val="20"/>
                <w:lang w:val="es-CO"/>
              </w:rPr>
              <w:t>Solo se consideran los programas de PREGRADO.</w:t>
            </w:r>
          </w:p>
          <w:p w:rsidR="005213DF" w:rsidRPr="00D47949" w:rsidRDefault="004E3336" w:rsidP="004E333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1F3426">
              <w:rPr>
                <w:rFonts w:asciiTheme="minorHAnsi" w:hAnsiTheme="minorHAnsi" w:cs="Arial"/>
                <w:sz w:val="20"/>
                <w:szCs w:val="20"/>
                <w:lang w:val="es-CO"/>
              </w:rPr>
              <w:t>Los Programas con contexto internacional se calculan considerando el cumplimiento de unas metas en cuanto a Movilidad internacional entrante y saliente, de estudiantes y docentes; el proceso de Modernización curricular y la cantidad de acciones en red (convenios, membresías, proyectos en desarrollo, docentes involucrados activamente en redes internacionales)</w:t>
            </w:r>
            <w:r w:rsidR="00CE7953"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</w:tc>
      </w:tr>
      <w:tr w:rsidR="00E8012E" w:rsidRPr="00504025" w:rsidTr="009F5809">
        <w:trPr>
          <w:trHeight w:val="397"/>
        </w:trPr>
        <w:tc>
          <w:tcPr>
            <w:tcW w:w="8988" w:type="dxa"/>
            <w:vAlign w:val="center"/>
          </w:tcPr>
          <w:p w:rsidR="00E8012E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Información soporte (soporte que se carga en el seguimiento):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952"/>
              <w:gridCol w:w="1294"/>
              <w:gridCol w:w="916"/>
              <w:gridCol w:w="1294"/>
              <w:gridCol w:w="916"/>
              <w:gridCol w:w="1384"/>
              <w:gridCol w:w="1165"/>
              <w:gridCol w:w="1240"/>
            </w:tblGrid>
            <w:tr w:rsidR="00413387" w:rsidRPr="00413387" w:rsidTr="00413387">
              <w:trPr>
                <w:trHeight w:val="255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Programas Académicos con Visibilidad Internacional</w:t>
                  </w:r>
                </w:p>
              </w:tc>
            </w:tr>
            <w:tr w:rsidR="00413387" w:rsidRPr="00413387" w:rsidTr="00413387">
              <w:trPr>
                <w:trHeight w:val="33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%(# de Programas con contexto internacional (movilidad, modernización de currículos y trabajo en red) / # total de programas de la universidad) x 100</w:t>
                  </w:r>
                </w:p>
              </w:tc>
            </w:tr>
            <w:tr w:rsidR="00413387" w:rsidRPr="00413387" w:rsidTr="00413387">
              <w:trPr>
                <w:trHeight w:val="495"/>
              </w:trPr>
              <w:tc>
                <w:tcPr>
                  <w:tcW w:w="6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2" w:type="pct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Movilidad Internacional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2CC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Modernización Curricular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Proyectos en red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13387" w:rsidRPr="00413387" w:rsidTr="00413387">
              <w:trPr>
                <w:trHeight w:val="255"/>
              </w:trPr>
              <w:tc>
                <w:tcPr>
                  <w:tcW w:w="6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Entrante</w:t>
                  </w:r>
                </w:p>
              </w:tc>
              <w:tc>
                <w:tcPr>
                  <w:tcW w:w="9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Saliente</w:t>
                  </w:r>
                </w:p>
              </w:tc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13387" w:rsidRPr="00413387" w:rsidTr="00413387">
              <w:trPr>
                <w:trHeight w:val="510"/>
              </w:trPr>
              <w:tc>
                <w:tcPr>
                  <w:tcW w:w="662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Seleccionar Facultad</w:t>
                  </w: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↓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Peso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30%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413387" w:rsidRPr="00413387" w:rsidTr="00413387">
              <w:trPr>
                <w:trHeight w:val="255"/>
              </w:trPr>
              <w:tc>
                <w:tcPr>
                  <w:tcW w:w="662" w:type="pct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Meta 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13387" w:rsidRPr="00413387" w:rsidTr="00413387">
              <w:trPr>
                <w:trHeight w:val="255"/>
              </w:trPr>
              <w:tc>
                <w:tcPr>
                  <w:tcW w:w="662" w:type="pct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Programa 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E1F2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30%</w:t>
                  </w: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3387" w:rsidRPr="00413387" w:rsidTr="00413387">
              <w:trPr>
                <w:trHeight w:val="1530"/>
              </w:trPr>
              <w:tc>
                <w:tcPr>
                  <w:tcW w:w="6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Facultad</w:t>
                  </w: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Programa 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# estudiantes (intercambio y pasantía investigación)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Docentes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# estudiantes (intercambio y pasantía investigación)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Docentes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Si ya iniciaron el proceso </w:t>
                  </w: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br/>
                    <w:t>(1 = Si, 2 = No)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- Convenios</w:t>
                  </w: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br/>
                    <w:t>- Membresías</w:t>
                  </w: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br/>
                    <w:t>- Proyectos en desarrollo</w:t>
                  </w: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br/>
                    <w:t>-</w:t>
                  </w:r>
                  <w:r w:rsidRPr="00413387"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1338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Docentes trabajando en redes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% visibilidad internacional</w:t>
                  </w:r>
                </w:p>
              </w:tc>
            </w:tr>
            <w:tr w:rsidR="00413387" w:rsidRPr="00413387" w:rsidTr="00413387">
              <w:trPr>
                <w:trHeight w:val="255"/>
              </w:trPr>
              <w:tc>
                <w:tcPr>
                  <w:tcW w:w="6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  <w:tr w:rsidR="00413387" w:rsidRPr="00413387" w:rsidTr="00413387">
              <w:trPr>
                <w:trHeight w:val="255"/>
              </w:trPr>
              <w:tc>
                <w:tcPr>
                  <w:tcW w:w="6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  <w:tr w:rsidR="00413387" w:rsidRPr="00413387" w:rsidTr="00413387">
              <w:trPr>
                <w:trHeight w:val="255"/>
              </w:trPr>
              <w:tc>
                <w:tcPr>
                  <w:tcW w:w="6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</w:tbl>
          <w:p w:rsidR="00E8012E" w:rsidRPr="00504025" w:rsidRDefault="00E8012E" w:rsidP="00DF21E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012E" w:rsidRPr="00504025" w:rsidTr="009F5809">
        <w:trPr>
          <w:trHeight w:val="397"/>
        </w:trPr>
        <w:tc>
          <w:tcPr>
            <w:tcW w:w="8988" w:type="dxa"/>
            <w:vAlign w:val="center"/>
          </w:tcPr>
          <w:p w:rsidR="00E8012E" w:rsidRPr="00504025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Forma de presentación de resultados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(soporte que se carga en el seguimiento)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tbl>
            <w:tblPr>
              <w:tblW w:w="4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1200"/>
            </w:tblGrid>
            <w:tr w:rsidR="00413387" w:rsidRPr="00413387" w:rsidTr="00413387">
              <w:trPr>
                <w:trHeight w:val="330"/>
              </w:trPr>
              <w:tc>
                <w:tcPr>
                  <w:tcW w:w="4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8EA9DB"/>
                  <w:noWrap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INDICADOR IMPULSOR INTERNACIONAL</w:t>
                  </w:r>
                </w:p>
              </w:tc>
            </w:tr>
            <w:tr w:rsidR="00413387" w:rsidRPr="00413387" w:rsidTr="00413387">
              <w:trPr>
                <w:trHeight w:val="495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Programas con contexto internacional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13387" w:rsidRPr="00413387" w:rsidTr="00413387">
              <w:trPr>
                <w:trHeight w:val="255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Total de programas de la universidad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13387" w:rsidRPr="00413387" w:rsidTr="00413387">
              <w:trPr>
                <w:trHeight w:val="510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% Programas Académicos con Visibilidad Internacional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387" w:rsidRPr="00413387" w:rsidRDefault="00413387" w:rsidP="00413387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1338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8012E" w:rsidRPr="00504025" w:rsidRDefault="00E8012E" w:rsidP="00D6274A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</w:tc>
      </w:tr>
    </w:tbl>
    <w:p w:rsidR="00E8012E" w:rsidRDefault="00E8012E" w:rsidP="00333FE8">
      <w:pPr>
        <w:pStyle w:val="Prrafodelista"/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:rsidR="00E8012E" w:rsidRPr="00504025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/>
          <w:sz w:val="20"/>
          <w:szCs w:val="20"/>
        </w:rPr>
        <w:t>_________________________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:rsidR="00E8012E" w:rsidRDefault="00E8012E" w:rsidP="00E03A82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  <w:r w:rsidRPr="00FE5254">
        <w:rPr>
          <w:rFonts w:asciiTheme="minorHAnsi" w:hAnsiTheme="minorHAnsi" w:cs="Arial"/>
          <w:b/>
          <w:bCs/>
          <w:noProof/>
          <w:sz w:val="20"/>
          <w:szCs w:val="20"/>
        </w:rPr>
        <w:t>Francisco Antonio Uribe Gómez</w:t>
      </w:r>
    </w:p>
    <w:p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  <w:r w:rsidRPr="00C363D4">
        <w:rPr>
          <w:rFonts w:asciiTheme="minorHAnsi" w:hAnsiTheme="minorHAnsi" w:cs="Arial"/>
          <w:b/>
          <w:bCs/>
          <w:sz w:val="20"/>
          <w:szCs w:val="20"/>
        </w:rPr>
        <w:t>Coordinador de Pilar</w:t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</w:p>
    <w:p w:rsidR="00E8012E" w:rsidRDefault="00E8012E">
      <w:pPr>
        <w:widowControl/>
        <w:adjustRightInd/>
        <w:spacing w:line="240" w:lineRule="auto"/>
        <w:jc w:val="left"/>
        <w:textAlignment w:val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 w:type="page"/>
      </w:r>
    </w:p>
    <w:p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</w:p>
    <w:p w:rsidR="00E8012E" w:rsidRDefault="00E8012E" w:rsidP="00DF078F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Control de cambios</w:t>
      </w:r>
    </w:p>
    <w:p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0017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4111"/>
        <w:gridCol w:w="1658"/>
      </w:tblGrid>
      <w:tr w:rsidR="00E8012E" w:rsidTr="0009000C">
        <w:trPr>
          <w:jc w:val="center"/>
        </w:trPr>
        <w:tc>
          <w:tcPr>
            <w:tcW w:w="1129" w:type="dxa"/>
            <w:shd w:val="clear" w:color="auto" w:fill="95B3D7" w:themeFill="accent1" w:themeFillTint="99"/>
            <w:vAlign w:val="center"/>
          </w:tcPr>
          <w:p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Acta o Acto Administrativo que avala el cambio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4111" w:type="dxa"/>
            <w:shd w:val="clear" w:color="auto" w:fill="95B3D7" w:themeFill="accent1" w:themeFillTint="99"/>
            <w:vAlign w:val="center"/>
          </w:tcPr>
          <w:p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Descripción del ajuste</w:t>
            </w:r>
          </w:p>
        </w:tc>
        <w:tc>
          <w:tcPr>
            <w:tcW w:w="1658" w:type="dxa"/>
            <w:shd w:val="clear" w:color="auto" w:fill="95B3D7" w:themeFill="accent1" w:themeFillTint="99"/>
            <w:vAlign w:val="center"/>
          </w:tcPr>
          <w:p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Modifica la forma de cálculo del indicador o lo elimina</w:t>
            </w:r>
          </w:p>
        </w:tc>
      </w:tr>
      <w:tr w:rsidR="001353CF" w:rsidRPr="00CF29F3" w:rsidTr="00CF29F3">
        <w:trPr>
          <w:jc w:val="center"/>
        </w:trPr>
        <w:tc>
          <w:tcPr>
            <w:tcW w:w="1129" w:type="dxa"/>
            <w:vAlign w:val="center"/>
          </w:tcPr>
          <w:p w:rsidR="001353CF" w:rsidRPr="00CF29F3" w:rsidRDefault="001353CF" w:rsidP="001353C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1353CF" w:rsidRPr="00CF29F3" w:rsidRDefault="001353CF" w:rsidP="001353CF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Acuerdo 37 del 6 de Noviembre de 2019</w:t>
            </w:r>
          </w:p>
        </w:tc>
        <w:tc>
          <w:tcPr>
            <w:tcW w:w="1418" w:type="dxa"/>
            <w:vAlign w:val="center"/>
          </w:tcPr>
          <w:p w:rsidR="001353CF" w:rsidRPr="00CF29F3" w:rsidRDefault="001353CF" w:rsidP="001353C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28/04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/2020</w:t>
            </w:r>
          </w:p>
        </w:tc>
        <w:tc>
          <w:tcPr>
            <w:tcW w:w="4111" w:type="dxa"/>
            <w:vAlign w:val="center"/>
          </w:tcPr>
          <w:p w:rsidR="001353CF" w:rsidRPr="00CF29F3" w:rsidRDefault="001353CF" w:rsidP="001353CF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Por medio del cual se aprueba el Plan de Desarrollo Institucional 2029 "Aquí construimos Futuro" y se dictan otras disposiciones.</w:t>
            </w:r>
          </w:p>
        </w:tc>
        <w:tc>
          <w:tcPr>
            <w:tcW w:w="1658" w:type="dxa"/>
            <w:vAlign w:val="center"/>
          </w:tcPr>
          <w:p w:rsidR="001353CF" w:rsidRPr="00CF29F3" w:rsidRDefault="001353CF" w:rsidP="001353C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Creación</w:t>
            </w:r>
          </w:p>
        </w:tc>
      </w:tr>
    </w:tbl>
    <w:p w:rsidR="00E8012E" w:rsidRPr="00C363D4" w:rsidRDefault="00E8012E" w:rsidP="00DF54D7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</w:p>
    <w:sectPr w:rsidR="00E8012E" w:rsidRPr="00C363D4" w:rsidSect="00DF54D7">
      <w:headerReference w:type="default" r:id="rId7"/>
      <w:footerReference w:type="default" r:id="rId8"/>
      <w:pgSz w:w="12242" w:h="15842" w:code="1"/>
      <w:pgMar w:top="1134" w:right="1701" w:bottom="1134" w:left="1701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CB" w:rsidRDefault="00BC68CB">
      <w:r>
        <w:separator/>
      </w:r>
    </w:p>
  </w:endnote>
  <w:endnote w:type="continuationSeparator" w:id="0">
    <w:p w:rsidR="00BC68CB" w:rsidRDefault="00BC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C2" w:rsidRPr="00BB4682" w:rsidRDefault="002831C2" w:rsidP="00BB4682">
    <w:pPr>
      <w:pStyle w:val="Piedepgina"/>
      <w:jc w:val="right"/>
      <w:rPr>
        <w:rFonts w:ascii="Arial" w:hAnsi="Arial" w:cs="Arial"/>
        <w:sz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CB" w:rsidRDefault="00BC68CB">
      <w:r>
        <w:separator/>
      </w:r>
    </w:p>
  </w:footnote>
  <w:footnote w:type="continuationSeparator" w:id="0">
    <w:p w:rsidR="00BC68CB" w:rsidRDefault="00BC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060"/>
      <w:gridCol w:w="4382"/>
      <w:gridCol w:w="2398"/>
    </w:tblGrid>
    <w:tr w:rsidR="002831C2" w:rsidRPr="004036F2" w:rsidTr="00B05843">
      <w:trPr>
        <w:trHeight w:val="1825"/>
      </w:trPr>
      <w:tc>
        <w:tcPr>
          <w:tcW w:w="1605" w:type="dxa"/>
          <w:vAlign w:val="center"/>
          <w:hideMark/>
        </w:tcPr>
        <w:p w:rsidR="002831C2" w:rsidRPr="004036F2" w:rsidRDefault="002831C2">
          <w:pPr>
            <w:jc w:val="center"/>
            <w:rPr>
              <w:rFonts w:asciiTheme="minorHAnsi" w:hAnsiTheme="minorHAnsi" w:cs="Arial"/>
              <w:b/>
              <w:sz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27E2FB5" wp14:editId="1DF91BCE">
                <wp:extent cx="1171185" cy="854648"/>
                <wp:effectExtent l="0" t="0" r="0" b="3175"/>
                <wp:docPr id="1082" name="Imagen 2" descr="logo_ut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" name="Imagen 2" descr="logo_utp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062" cy="857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4" w:type="dxa"/>
          <w:vAlign w:val="center"/>
          <w:hideMark/>
        </w:tcPr>
        <w:p w:rsidR="002831C2" w:rsidRPr="004036F2" w:rsidRDefault="002831C2" w:rsidP="00CB7A63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UNIVERSIDAD TECNOLÓGICA DE PEREIRA</w:t>
          </w:r>
        </w:p>
        <w:p w:rsidR="002831C2" w:rsidRPr="004036F2" w:rsidRDefault="002831C2" w:rsidP="00CB7A63">
          <w:pPr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Protocolo del Sistema de Indicadores Institucionales</w:t>
          </w:r>
        </w:p>
        <w:p w:rsidR="002831C2" w:rsidRPr="001C1AF5" w:rsidRDefault="002831C2" w:rsidP="001C1AF5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>PLAN DE DESARROLLO INSTITUCIONAL 2020-2028</w:t>
          </w:r>
        </w:p>
      </w:tc>
      <w:tc>
        <w:tcPr>
          <w:tcW w:w="2281" w:type="dxa"/>
          <w:vAlign w:val="center"/>
          <w:hideMark/>
        </w:tcPr>
        <w:tbl>
          <w:tblPr>
            <w:tblStyle w:val="Tablaconcuadrcula"/>
            <w:tblW w:w="2172" w:type="dxa"/>
            <w:jc w:val="center"/>
            <w:tblLook w:val="04A0" w:firstRow="1" w:lastRow="0" w:firstColumn="1" w:lastColumn="0" w:noHBand="0" w:noVBand="1"/>
          </w:tblPr>
          <w:tblGrid>
            <w:gridCol w:w="1134"/>
            <w:gridCol w:w="1038"/>
          </w:tblGrid>
          <w:tr w:rsidR="002831C2" w:rsidRPr="004036F2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Código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>113-F37</w:t>
                </w:r>
              </w:p>
            </w:tc>
          </w:tr>
          <w:tr w:rsidR="002831C2" w:rsidRPr="004036F2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Versión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A2367C" w:rsidRDefault="002831C2" w:rsidP="00614A3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Theme="minorHAnsi" w:hAnsiTheme="minorHAnsi" w:cs="Arial"/>
                    <w:sz w:val="18"/>
                  </w:rPr>
                  <w:t>4</w:t>
                </w:r>
              </w:p>
            </w:tc>
          </w:tr>
          <w:tr w:rsidR="002831C2" w:rsidRPr="004036F2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Fecha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8D1341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6"/>
                    <w:szCs w:val="16"/>
                  </w:rPr>
                </w:pP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201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9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</w:p>
            </w:tc>
          </w:tr>
          <w:tr w:rsidR="002831C2" w:rsidRPr="004036F2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Página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instrText xml:space="preserve">PAGE  </w:instrTex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separate"/>
                </w:r>
                <w:r w:rsidR="00E32C93">
                  <w:rPr>
                    <w:rStyle w:val="Nmerodepgina"/>
                    <w:rFonts w:asciiTheme="minorHAnsi" w:hAnsiTheme="minorHAnsi"/>
                    <w:noProof/>
                    <w:sz w:val="16"/>
                    <w:szCs w:val="16"/>
                  </w:rPr>
                  <w:t>5</w: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end"/>
                </w: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 xml:space="preserve"> de 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instrText xml:space="preserve"> NUMPAGES </w:instrTex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separate"/>
                </w:r>
                <w:r w:rsidR="00E32C93">
                  <w:rPr>
                    <w:rStyle w:val="Nmerodepgina"/>
                    <w:rFonts w:asciiTheme="minorHAnsi" w:hAnsiTheme="minorHAnsi" w:cs="Arial"/>
                    <w:noProof/>
                    <w:sz w:val="16"/>
                    <w:szCs w:val="16"/>
                  </w:rPr>
                  <w:t>5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end"/>
                </w:r>
              </w:p>
            </w:tc>
          </w:tr>
        </w:tbl>
        <w:p w:rsidR="002831C2" w:rsidRPr="004036F2" w:rsidRDefault="002831C2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  <w:sz w:val="22"/>
            </w:rPr>
          </w:pPr>
        </w:p>
      </w:tc>
    </w:tr>
  </w:tbl>
  <w:p w:rsidR="002831C2" w:rsidRPr="004036F2" w:rsidRDefault="002831C2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0917AB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92628D0"/>
    <w:multiLevelType w:val="hybridMultilevel"/>
    <w:tmpl w:val="EB72F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9902AD"/>
    <w:multiLevelType w:val="multilevel"/>
    <w:tmpl w:val="BA2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1">
    <w:nsid w:val="16613F3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1">
    <w:nsid w:val="2874293D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1">
    <w:nsid w:val="2877062C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FE26DB"/>
    <w:multiLevelType w:val="multilevel"/>
    <w:tmpl w:val="B36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1">
    <w:nsid w:val="44257312"/>
    <w:multiLevelType w:val="multilevel"/>
    <w:tmpl w:val="AB7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1">
    <w:nsid w:val="44384976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1">
    <w:nsid w:val="47A42922"/>
    <w:multiLevelType w:val="hybridMultilevel"/>
    <w:tmpl w:val="4208A9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F0248A3"/>
    <w:multiLevelType w:val="hybridMultilevel"/>
    <w:tmpl w:val="D1D459FC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1527124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1">
    <w:nsid w:val="5CAD2BF8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D5A1CCC"/>
    <w:multiLevelType w:val="multilevel"/>
    <w:tmpl w:val="003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5E163441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1">
    <w:nsid w:val="60A5634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1">
    <w:nsid w:val="73803712"/>
    <w:multiLevelType w:val="multilevel"/>
    <w:tmpl w:val="F59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1">
    <w:nsid w:val="7F610419"/>
    <w:multiLevelType w:val="hybridMultilevel"/>
    <w:tmpl w:val="E4C6F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1"/>
  </w:num>
  <w:num w:numId="15">
    <w:abstractNumId w:val="10"/>
  </w:num>
  <w:num w:numId="16">
    <w:abstractNumId w:val="17"/>
  </w:num>
  <w:num w:numId="17">
    <w:abstractNumId w:val="0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2A"/>
    <w:rsid w:val="00000E40"/>
    <w:rsid w:val="000072F7"/>
    <w:rsid w:val="00010122"/>
    <w:rsid w:val="000118BB"/>
    <w:rsid w:val="00012C6F"/>
    <w:rsid w:val="00013C40"/>
    <w:rsid w:val="00017131"/>
    <w:rsid w:val="00036D46"/>
    <w:rsid w:val="00042F98"/>
    <w:rsid w:val="000473A1"/>
    <w:rsid w:val="000507E7"/>
    <w:rsid w:val="000519BF"/>
    <w:rsid w:val="00052E23"/>
    <w:rsid w:val="000578E4"/>
    <w:rsid w:val="0006072B"/>
    <w:rsid w:val="00070214"/>
    <w:rsid w:val="00072BFA"/>
    <w:rsid w:val="00075ABC"/>
    <w:rsid w:val="000762FE"/>
    <w:rsid w:val="00084BF7"/>
    <w:rsid w:val="00085CA0"/>
    <w:rsid w:val="00086C7B"/>
    <w:rsid w:val="0009000C"/>
    <w:rsid w:val="00090316"/>
    <w:rsid w:val="0009668C"/>
    <w:rsid w:val="00096CFF"/>
    <w:rsid w:val="000A54CF"/>
    <w:rsid w:val="000A7E1C"/>
    <w:rsid w:val="000B0CAB"/>
    <w:rsid w:val="000B266B"/>
    <w:rsid w:val="000B7721"/>
    <w:rsid w:val="000C731D"/>
    <w:rsid w:val="000D1CDC"/>
    <w:rsid w:val="000D2F9C"/>
    <w:rsid w:val="000E0EB2"/>
    <w:rsid w:val="000E1695"/>
    <w:rsid w:val="000E24DB"/>
    <w:rsid w:val="000E6055"/>
    <w:rsid w:val="000E63D8"/>
    <w:rsid w:val="000F28FB"/>
    <w:rsid w:val="000F3316"/>
    <w:rsid w:val="000F49D3"/>
    <w:rsid w:val="000F6A51"/>
    <w:rsid w:val="00101D9D"/>
    <w:rsid w:val="001061BC"/>
    <w:rsid w:val="0010740B"/>
    <w:rsid w:val="0011177C"/>
    <w:rsid w:val="00113273"/>
    <w:rsid w:val="001176FC"/>
    <w:rsid w:val="00120F95"/>
    <w:rsid w:val="00124A24"/>
    <w:rsid w:val="00124D81"/>
    <w:rsid w:val="001317BB"/>
    <w:rsid w:val="001353CF"/>
    <w:rsid w:val="00136324"/>
    <w:rsid w:val="0013744F"/>
    <w:rsid w:val="00137FC8"/>
    <w:rsid w:val="001558F7"/>
    <w:rsid w:val="00164965"/>
    <w:rsid w:val="00164F96"/>
    <w:rsid w:val="001660DE"/>
    <w:rsid w:val="00171ABD"/>
    <w:rsid w:val="00172EC0"/>
    <w:rsid w:val="0017305C"/>
    <w:rsid w:val="00176758"/>
    <w:rsid w:val="001804C0"/>
    <w:rsid w:val="00181138"/>
    <w:rsid w:val="001904DD"/>
    <w:rsid w:val="00191C0C"/>
    <w:rsid w:val="00197301"/>
    <w:rsid w:val="001A00E6"/>
    <w:rsid w:val="001A09F7"/>
    <w:rsid w:val="001A5871"/>
    <w:rsid w:val="001A5B20"/>
    <w:rsid w:val="001B26A2"/>
    <w:rsid w:val="001C01F5"/>
    <w:rsid w:val="001C0C19"/>
    <w:rsid w:val="001C1AF5"/>
    <w:rsid w:val="001C296C"/>
    <w:rsid w:val="001C3EC1"/>
    <w:rsid w:val="001C66EA"/>
    <w:rsid w:val="001D17FE"/>
    <w:rsid w:val="001E485A"/>
    <w:rsid w:val="001E4A2A"/>
    <w:rsid w:val="001F3426"/>
    <w:rsid w:val="001F5100"/>
    <w:rsid w:val="001F5702"/>
    <w:rsid w:val="002006FB"/>
    <w:rsid w:val="00205372"/>
    <w:rsid w:val="002056C2"/>
    <w:rsid w:val="002106B5"/>
    <w:rsid w:val="002114F6"/>
    <w:rsid w:val="002227C4"/>
    <w:rsid w:val="0022494B"/>
    <w:rsid w:val="00225A27"/>
    <w:rsid w:val="002263BB"/>
    <w:rsid w:val="002319F6"/>
    <w:rsid w:val="00232106"/>
    <w:rsid w:val="002334D8"/>
    <w:rsid w:val="00234DF4"/>
    <w:rsid w:val="00236281"/>
    <w:rsid w:val="00240CB3"/>
    <w:rsid w:val="00241535"/>
    <w:rsid w:val="00242CE9"/>
    <w:rsid w:val="002523B3"/>
    <w:rsid w:val="002525AD"/>
    <w:rsid w:val="00255EEC"/>
    <w:rsid w:val="00256B7C"/>
    <w:rsid w:val="002611D9"/>
    <w:rsid w:val="00263F64"/>
    <w:rsid w:val="0026498D"/>
    <w:rsid w:val="002661CC"/>
    <w:rsid w:val="00272854"/>
    <w:rsid w:val="002831C2"/>
    <w:rsid w:val="00285FF8"/>
    <w:rsid w:val="00290B90"/>
    <w:rsid w:val="00293440"/>
    <w:rsid w:val="00293CF1"/>
    <w:rsid w:val="002A44EC"/>
    <w:rsid w:val="002A5CE3"/>
    <w:rsid w:val="002B03BE"/>
    <w:rsid w:val="002B21F1"/>
    <w:rsid w:val="002B43E9"/>
    <w:rsid w:val="002B4FD6"/>
    <w:rsid w:val="002B554B"/>
    <w:rsid w:val="002B72D8"/>
    <w:rsid w:val="002B78D8"/>
    <w:rsid w:val="002C0322"/>
    <w:rsid w:val="002C5276"/>
    <w:rsid w:val="002C5FA4"/>
    <w:rsid w:val="002C6890"/>
    <w:rsid w:val="002C7208"/>
    <w:rsid w:val="002D2A9D"/>
    <w:rsid w:val="002D30EF"/>
    <w:rsid w:val="002E37C9"/>
    <w:rsid w:val="002E5208"/>
    <w:rsid w:val="002E5CE6"/>
    <w:rsid w:val="002F0C71"/>
    <w:rsid w:val="002F0F56"/>
    <w:rsid w:val="002F585A"/>
    <w:rsid w:val="002F6878"/>
    <w:rsid w:val="002F798C"/>
    <w:rsid w:val="003008BA"/>
    <w:rsid w:val="003008C2"/>
    <w:rsid w:val="00307CD2"/>
    <w:rsid w:val="003131F7"/>
    <w:rsid w:val="0031349C"/>
    <w:rsid w:val="00314065"/>
    <w:rsid w:val="0031434B"/>
    <w:rsid w:val="00322F74"/>
    <w:rsid w:val="00323FCC"/>
    <w:rsid w:val="003325F7"/>
    <w:rsid w:val="00333898"/>
    <w:rsid w:val="00333FE8"/>
    <w:rsid w:val="0033485B"/>
    <w:rsid w:val="00342429"/>
    <w:rsid w:val="00344701"/>
    <w:rsid w:val="00344708"/>
    <w:rsid w:val="00347179"/>
    <w:rsid w:val="00350C5F"/>
    <w:rsid w:val="00354025"/>
    <w:rsid w:val="00356827"/>
    <w:rsid w:val="0035731B"/>
    <w:rsid w:val="00360680"/>
    <w:rsid w:val="00361004"/>
    <w:rsid w:val="00364B2D"/>
    <w:rsid w:val="0036506A"/>
    <w:rsid w:val="0037401F"/>
    <w:rsid w:val="003741BC"/>
    <w:rsid w:val="00380B52"/>
    <w:rsid w:val="00382346"/>
    <w:rsid w:val="00387619"/>
    <w:rsid w:val="00390606"/>
    <w:rsid w:val="003964E4"/>
    <w:rsid w:val="003971FE"/>
    <w:rsid w:val="003A38CC"/>
    <w:rsid w:val="003A6C98"/>
    <w:rsid w:val="003A73F9"/>
    <w:rsid w:val="003A7B2D"/>
    <w:rsid w:val="003B2C2C"/>
    <w:rsid w:val="003D7E74"/>
    <w:rsid w:val="003E274B"/>
    <w:rsid w:val="003E34AF"/>
    <w:rsid w:val="003E4E68"/>
    <w:rsid w:val="003F14AA"/>
    <w:rsid w:val="003F7165"/>
    <w:rsid w:val="0040098C"/>
    <w:rsid w:val="00401CA2"/>
    <w:rsid w:val="004036F2"/>
    <w:rsid w:val="00407C6C"/>
    <w:rsid w:val="00411AF6"/>
    <w:rsid w:val="00413387"/>
    <w:rsid w:val="0041438F"/>
    <w:rsid w:val="00415931"/>
    <w:rsid w:val="0041602D"/>
    <w:rsid w:val="00421754"/>
    <w:rsid w:val="00421F91"/>
    <w:rsid w:val="00422EC9"/>
    <w:rsid w:val="00432899"/>
    <w:rsid w:val="004342F4"/>
    <w:rsid w:val="00436855"/>
    <w:rsid w:val="00440919"/>
    <w:rsid w:val="0044379E"/>
    <w:rsid w:val="00453FBC"/>
    <w:rsid w:val="004558E1"/>
    <w:rsid w:val="00456052"/>
    <w:rsid w:val="004603BD"/>
    <w:rsid w:val="00462608"/>
    <w:rsid w:val="004668DD"/>
    <w:rsid w:val="00470821"/>
    <w:rsid w:val="00471699"/>
    <w:rsid w:val="00477120"/>
    <w:rsid w:val="0047742E"/>
    <w:rsid w:val="00477EAB"/>
    <w:rsid w:val="0048394E"/>
    <w:rsid w:val="004846BA"/>
    <w:rsid w:val="004870E4"/>
    <w:rsid w:val="00493C78"/>
    <w:rsid w:val="00494540"/>
    <w:rsid w:val="004A03EC"/>
    <w:rsid w:val="004A1524"/>
    <w:rsid w:val="004A2B08"/>
    <w:rsid w:val="004A3746"/>
    <w:rsid w:val="004A5674"/>
    <w:rsid w:val="004A747A"/>
    <w:rsid w:val="004B13B6"/>
    <w:rsid w:val="004B39A1"/>
    <w:rsid w:val="004C07CE"/>
    <w:rsid w:val="004C2605"/>
    <w:rsid w:val="004C2980"/>
    <w:rsid w:val="004C2D13"/>
    <w:rsid w:val="004C4832"/>
    <w:rsid w:val="004C77F3"/>
    <w:rsid w:val="004D3142"/>
    <w:rsid w:val="004D413B"/>
    <w:rsid w:val="004D6845"/>
    <w:rsid w:val="004D7A56"/>
    <w:rsid w:val="004E3336"/>
    <w:rsid w:val="004E4B07"/>
    <w:rsid w:val="004E7E4B"/>
    <w:rsid w:val="004F06DC"/>
    <w:rsid w:val="004F3697"/>
    <w:rsid w:val="004F5112"/>
    <w:rsid w:val="004F5A91"/>
    <w:rsid w:val="00504025"/>
    <w:rsid w:val="005042A8"/>
    <w:rsid w:val="005048B0"/>
    <w:rsid w:val="00505204"/>
    <w:rsid w:val="005105A3"/>
    <w:rsid w:val="00510729"/>
    <w:rsid w:val="00511298"/>
    <w:rsid w:val="00516803"/>
    <w:rsid w:val="005213DF"/>
    <w:rsid w:val="0052595E"/>
    <w:rsid w:val="00525CA9"/>
    <w:rsid w:val="005355B1"/>
    <w:rsid w:val="00536763"/>
    <w:rsid w:val="0054597A"/>
    <w:rsid w:val="00547BD0"/>
    <w:rsid w:val="0055396A"/>
    <w:rsid w:val="0056006D"/>
    <w:rsid w:val="00560492"/>
    <w:rsid w:val="00562A9B"/>
    <w:rsid w:val="00563FBB"/>
    <w:rsid w:val="00572FA7"/>
    <w:rsid w:val="005739BB"/>
    <w:rsid w:val="00591FC4"/>
    <w:rsid w:val="005923C8"/>
    <w:rsid w:val="00592E48"/>
    <w:rsid w:val="005A2D0F"/>
    <w:rsid w:val="005A33ED"/>
    <w:rsid w:val="005A561E"/>
    <w:rsid w:val="005A6B09"/>
    <w:rsid w:val="005B670E"/>
    <w:rsid w:val="005C2521"/>
    <w:rsid w:val="005C323E"/>
    <w:rsid w:val="005C493B"/>
    <w:rsid w:val="005C58A0"/>
    <w:rsid w:val="005C75D9"/>
    <w:rsid w:val="005C7A08"/>
    <w:rsid w:val="005D0E4E"/>
    <w:rsid w:val="005D1662"/>
    <w:rsid w:val="005D2907"/>
    <w:rsid w:val="005E1C24"/>
    <w:rsid w:val="005E1F66"/>
    <w:rsid w:val="005E4866"/>
    <w:rsid w:val="00602917"/>
    <w:rsid w:val="0060515A"/>
    <w:rsid w:val="00613DBB"/>
    <w:rsid w:val="00614A3D"/>
    <w:rsid w:val="006154A0"/>
    <w:rsid w:val="00616AE0"/>
    <w:rsid w:val="006204B4"/>
    <w:rsid w:val="00621F26"/>
    <w:rsid w:val="0062405D"/>
    <w:rsid w:val="00632F86"/>
    <w:rsid w:val="00640501"/>
    <w:rsid w:val="00645AD7"/>
    <w:rsid w:val="00647824"/>
    <w:rsid w:val="0065175C"/>
    <w:rsid w:val="0066488A"/>
    <w:rsid w:val="00665C4A"/>
    <w:rsid w:val="006668A6"/>
    <w:rsid w:val="0067030D"/>
    <w:rsid w:val="006704E7"/>
    <w:rsid w:val="00670CC0"/>
    <w:rsid w:val="00674960"/>
    <w:rsid w:val="006753BE"/>
    <w:rsid w:val="00676B38"/>
    <w:rsid w:val="006774A0"/>
    <w:rsid w:val="00696A91"/>
    <w:rsid w:val="006A1D7D"/>
    <w:rsid w:val="006B73B8"/>
    <w:rsid w:val="006C00D5"/>
    <w:rsid w:val="006D02CC"/>
    <w:rsid w:val="006D0BF2"/>
    <w:rsid w:val="006D0C54"/>
    <w:rsid w:val="006D55B9"/>
    <w:rsid w:val="006D68F1"/>
    <w:rsid w:val="006E45D4"/>
    <w:rsid w:val="006E7F1B"/>
    <w:rsid w:val="006F0850"/>
    <w:rsid w:val="006F1844"/>
    <w:rsid w:val="006F5C7D"/>
    <w:rsid w:val="006F6ECB"/>
    <w:rsid w:val="00703AF9"/>
    <w:rsid w:val="00705881"/>
    <w:rsid w:val="00707C05"/>
    <w:rsid w:val="0071168E"/>
    <w:rsid w:val="0071621E"/>
    <w:rsid w:val="007165F4"/>
    <w:rsid w:val="00716C84"/>
    <w:rsid w:val="0071787E"/>
    <w:rsid w:val="00720773"/>
    <w:rsid w:val="00723ABB"/>
    <w:rsid w:val="00724415"/>
    <w:rsid w:val="00727EC4"/>
    <w:rsid w:val="00730E38"/>
    <w:rsid w:val="00731048"/>
    <w:rsid w:val="007322ED"/>
    <w:rsid w:val="007341E8"/>
    <w:rsid w:val="00734EBC"/>
    <w:rsid w:val="00736E5A"/>
    <w:rsid w:val="00737DC3"/>
    <w:rsid w:val="007450DE"/>
    <w:rsid w:val="00756B67"/>
    <w:rsid w:val="00767501"/>
    <w:rsid w:val="0077229A"/>
    <w:rsid w:val="0077272D"/>
    <w:rsid w:val="0077403F"/>
    <w:rsid w:val="007759A8"/>
    <w:rsid w:val="00785402"/>
    <w:rsid w:val="00787881"/>
    <w:rsid w:val="007967E9"/>
    <w:rsid w:val="00797881"/>
    <w:rsid w:val="007A6979"/>
    <w:rsid w:val="007A726B"/>
    <w:rsid w:val="007B2480"/>
    <w:rsid w:val="007B4CB6"/>
    <w:rsid w:val="007B6272"/>
    <w:rsid w:val="007B707A"/>
    <w:rsid w:val="007C4517"/>
    <w:rsid w:val="007D58B0"/>
    <w:rsid w:val="007E6943"/>
    <w:rsid w:val="007E6ED4"/>
    <w:rsid w:val="007F332D"/>
    <w:rsid w:val="00800136"/>
    <w:rsid w:val="00804F40"/>
    <w:rsid w:val="008052AE"/>
    <w:rsid w:val="00805B8F"/>
    <w:rsid w:val="00812CB7"/>
    <w:rsid w:val="008150B8"/>
    <w:rsid w:val="00817301"/>
    <w:rsid w:val="00820821"/>
    <w:rsid w:val="008222CB"/>
    <w:rsid w:val="0082401A"/>
    <w:rsid w:val="008309EC"/>
    <w:rsid w:val="00833163"/>
    <w:rsid w:val="00842C59"/>
    <w:rsid w:val="00842E0A"/>
    <w:rsid w:val="00847891"/>
    <w:rsid w:val="008553FC"/>
    <w:rsid w:val="00863C18"/>
    <w:rsid w:val="00865900"/>
    <w:rsid w:val="008664F5"/>
    <w:rsid w:val="008752B3"/>
    <w:rsid w:val="0089045D"/>
    <w:rsid w:val="00894DEC"/>
    <w:rsid w:val="0089608A"/>
    <w:rsid w:val="008A44F6"/>
    <w:rsid w:val="008A58C6"/>
    <w:rsid w:val="008A663B"/>
    <w:rsid w:val="008B0C4B"/>
    <w:rsid w:val="008B1106"/>
    <w:rsid w:val="008B1AA1"/>
    <w:rsid w:val="008C0B97"/>
    <w:rsid w:val="008C0F41"/>
    <w:rsid w:val="008C21A2"/>
    <w:rsid w:val="008C39DD"/>
    <w:rsid w:val="008C4760"/>
    <w:rsid w:val="008C56E9"/>
    <w:rsid w:val="008D1341"/>
    <w:rsid w:val="008D2AA8"/>
    <w:rsid w:val="008D5771"/>
    <w:rsid w:val="008E1324"/>
    <w:rsid w:val="008E206E"/>
    <w:rsid w:val="008E5BE7"/>
    <w:rsid w:val="008E75C0"/>
    <w:rsid w:val="008E7A30"/>
    <w:rsid w:val="008F76D7"/>
    <w:rsid w:val="008F7A18"/>
    <w:rsid w:val="009037C2"/>
    <w:rsid w:val="00904AC3"/>
    <w:rsid w:val="00912D92"/>
    <w:rsid w:val="0091462A"/>
    <w:rsid w:val="00935D2F"/>
    <w:rsid w:val="00942926"/>
    <w:rsid w:val="00946B10"/>
    <w:rsid w:val="00946C81"/>
    <w:rsid w:val="00947BE5"/>
    <w:rsid w:val="00953228"/>
    <w:rsid w:val="0097292D"/>
    <w:rsid w:val="009801D8"/>
    <w:rsid w:val="00980D1E"/>
    <w:rsid w:val="00980E9D"/>
    <w:rsid w:val="00984162"/>
    <w:rsid w:val="009924B1"/>
    <w:rsid w:val="009A089F"/>
    <w:rsid w:val="009A1AA5"/>
    <w:rsid w:val="009A35D0"/>
    <w:rsid w:val="009A4949"/>
    <w:rsid w:val="009A64FD"/>
    <w:rsid w:val="009A7BCE"/>
    <w:rsid w:val="009B62EB"/>
    <w:rsid w:val="009B7E18"/>
    <w:rsid w:val="009C17EA"/>
    <w:rsid w:val="009D28C7"/>
    <w:rsid w:val="009D3DE4"/>
    <w:rsid w:val="009F3783"/>
    <w:rsid w:val="009F46B9"/>
    <w:rsid w:val="009F5809"/>
    <w:rsid w:val="00A00D6F"/>
    <w:rsid w:val="00A019FD"/>
    <w:rsid w:val="00A111A1"/>
    <w:rsid w:val="00A12134"/>
    <w:rsid w:val="00A1222F"/>
    <w:rsid w:val="00A16707"/>
    <w:rsid w:val="00A2190E"/>
    <w:rsid w:val="00A2260E"/>
    <w:rsid w:val="00A22D77"/>
    <w:rsid w:val="00A2367C"/>
    <w:rsid w:val="00A260A7"/>
    <w:rsid w:val="00A31EB0"/>
    <w:rsid w:val="00A32ABB"/>
    <w:rsid w:val="00A35B14"/>
    <w:rsid w:val="00A433EE"/>
    <w:rsid w:val="00A4724E"/>
    <w:rsid w:val="00A5518B"/>
    <w:rsid w:val="00A556FA"/>
    <w:rsid w:val="00A61513"/>
    <w:rsid w:val="00A63B68"/>
    <w:rsid w:val="00A64DB0"/>
    <w:rsid w:val="00A7054E"/>
    <w:rsid w:val="00A762F7"/>
    <w:rsid w:val="00A81B24"/>
    <w:rsid w:val="00A8724C"/>
    <w:rsid w:val="00A92094"/>
    <w:rsid w:val="00A952A2"/>
    <w:rsid w:val="00A956B1"/>
    <w:rsid w:val="00A95F83"/>
    <w:rsid w:val="00AA0E9F"/>
    <w:rsid w:val="00AA1D3C"/>
    <w:rsid w:val="00AA2BD1"/>
    <w:rsid w:val="00AA4BD5"/>
    <w:rsid w:val="00AA55A3"/>
    <w:rsid w:val="00AA6EFD"/>
    <w:rsid w:val="00AA72C9"/>
    <w:rsid w:val="00AB1D38"/>
    <w:rsid w:val="00AB20A9"/>
    <w:rsid w:val="00AB4508"/>
    <w:rsid w:val="00AB6A08"/>
    <w:rsid w:val="00AC02DF"/>
    <w:rsid w:val="00AC700E"/>
    <w:rsid w:val="00AD089E"/>
    <w:rsid w:val="00AD390F"/>
    <w:rsid w:val="00AE1706"/>
    <w:rsid w:val="00AE7DC8"/>
    <w:rsid w:val="00AF1DD5"/>
    <w:rsid w:val="00AF3D94"/>
    <w:rsid w:val="00AF4897"/>
    <w:rsid w:val="00B008A3"/>
    <w:rsid w:val="00B01685"/>
    <w:rsid w:val="00B049AE"/>
    <w:rsid w:val="00B05843"/>
    <w:rsid w:val="00B114CF"/>
    <w:rsid w:val="00B1186C"/>
    <w:rsid w:val="00B12C28"/>
    <w:rsid w:val="00B203CF"/>
    <w:rsid w:val="00B244F9"/>
    <w:rsid w:val="00B25EA6"/>
    <w:rsid w:val="00B27ED0"/>
    <w:rsid w:val="00B323C3"/>
    <w:rsid w:val="00B3241D"/>
    <w:rsid w:val="00B34E9C"/>
    <w:rsid w:val="00B41567"/>
    <w:rsid w:val="00B429BC"/>
    <w:rsid w:val="00B462F4"/>
    <w:rsid w:val="00B53B3F"/>
    <w:rsid w:val="00B667D5"/>
    <w:rsid w:val="00B66BFD"/>
    <w:rsid w:val="00B670A4"/>
    <w:rsid w:val="00B67736"/>
    <w:rsid w:val="00B72A46"/>
    <w:rsid w:val="00B764E7"/>
    <w:rsid w:val="00B825E1"/>
    <w:rsid w:val="00B83C9D"/>
    <w:rsid w:val="00B90D01"/>
    <w:rsid w:val="00B941C8"/>
    <w:rsid w:val="00B948F0"/>
    <w:rsid w:val="00B951B3"/>
    <w:rsid w:val="00BA1C71"/>
    <w:rsid w:val="00BA1D56"/>
    <w:rsid w:val="00BA4B52"/>
    <w:rsid w:val="00BA762F"/>
    <w:rsid w:val="00BB2C7F"/>
    <w:rsid w:val="00BB4682"/>
    <w:rsid w:val="00BC058B"/>
    <w:rsid w:val="00BC56E3"/>
    <w:rsid w:val="00BC68CB"/>
    <w:rsid w:val="00BD633A"/>
    <w:rsid w:val="00BE2A3C"/>
    <w:rsid w:val="00BE43E7"/>
    <w:rsid w:val="00BE503F"/>
    <w:rsid w:val="00BE5487"/>
    <w:rsid w:val="00BF2ED1"/>
    <w:rsid w:val="00BF3E0F"/>
    <w:rsid w:val="00C00D45"/>
    <w:rsid w:val="00C01AC4"/>
    <w:rsid w:val="00C01AED"/>
    <w:rsid w:val="00C02239"/>
    <w:rsid w:val="00C06972"/>
    <w:rsid w:val="00C07835"/>
    <w:rsid w:val="00C12911"/>
    <w:rsid w:val="00C12C25"/>
    <w:rsid w:val="00C134D6"/>
    <w:rsid w:val="00C20AB8"/>
    <w:rsid w:val="00C21041"/>
    <w:rsid w:val="00C21A32"/>
    <w:rsid w:val="00C318D8"/>
    <w:rsid w:val="00C337C7"/>
    <w:rsid w:val="00C363D4"/>
    <w:rsid w:val="00C4553C"/>
    <w:rsid w:val="00C4677F"/>
    <w:rsid w:val="00C51A6F"/>
    <w:rsid w:val="00C52EA8"/>
    <w:rsid w:val="00C539A1"/>
    <w:rsid w:val="00C566B0"/>
    <w:rsid w:val="00C60860"/>
    <w:rsid w:val="00C63960"/>
    <w:rsid w:val="00C66888"/>
    <w:rsid w:val="00C67AA2"/>
    <w:rsid w:val="00C7349C"/>
    <w:rsid w:val="00C778DF"/>
    <w:rsid w:val="00C77EC3"/>
    <w:rsid w:val="00C81CE9"/>
    <w:rsid w:val="00C82301"/>
    <w:rsid w:val="00C8721B"/>
    <w:rsid w:val="00C94CEF"/>
    <w:rsid w:val="00C95150"/>
    <w:rsid w:val="00C9706F"/>
    <w:rsid w:val="00C97F80"/>
    <w:rsid w:val="00CA0BD8"/>
    <w:rsid w:val="00CB3D95"/>
    <w:rsid w:val="00CB7A63"/>
    <w:rsid w:val="00CC1675"/>
    <w:rsid w:val="00CC24EE"/>
    <w:rsid w:val="00CC41AA"/>
    <w:rsid w:val="00CC446B"/>
    <w:rsid w:val="00CD44D0"/>
    <w:rsid w:val="00CE241F"/>
    <w:rsid w:val="00CE2B1B"/>
    <w:rsid w:val="00CE4D4D"/>
    <w:rsid w:val="00CE5957"/>
    <w:rsid w:val="00CE743C"/>
    <w:rsid w:val="00CE7953"/>
    <w:rsid w:val="00CF21E6"/>
    <w:rsid w:val="00CF29F3"/>
    <w:rsid w:val="00CF4816"/>
    <w:rsid w:val="00CF6DBC"/>
    <w:rsid w:val="00D00A71"/>
    <w:rsid w:val="00D01AC4"/>
    <w:rsid w:val="00D037B1"/>
    <w:rsid w:val="00D05344"/>
    <w:rsid w:val="00D05445"/>
    <w:rsid w:val="00D07176"/>
    <w:rsid w:val="00D07FB9"/>
    <w:rsid w:val="00D11420"/>
    <w:rsid w:val="00D17B52"/>
    <w:rsid w:val="00D2103D"/>
    <w:rsid w:val="00D21E9B"/>
    <w:rsid w:val="00D241CD"/>
    <w:rsid w:val="00D32AA8"/>
    <w:rsid w:val="00D347F6"/>
    <w:rsid w:val="00D40901"/>
    <w:rsid w:val="00D41283"/>
    <w:rsid w:val="00D42D80"/>
    <w:rsid w:val="00D46808"/>
    <w:rsid w:val="00D47949"/>
    <w:rsid w:val="00D515DF"/>
    <w:rsid w:val="00D5518F"/>
    <w:rsid w:val="00D551A8"/>
    <w:rsid w:val="00D554AA"/>
    <w:rsid w:val="00D6000C"/>
    <w:rsid w:val="00D60732"/>
    <w:rsid w:val="00D6274A"/>
    <w:rsid w:val="00D80394"/>
    <w:rsid w:val="00D81538"/>
    <w:rsid w:val="00D848D0"/>
    <w:rsid w:val="00D90733"/>
    <w:rsid w:val="00D92328"/>
    <w:rsid w:val="00D95F71"/>
    <w:rsid w:val="00DA5384"/>
    <w:rsid w:val="00DA5785"/>
    <w:rsid w:val="00DB108F"/>
    <w:rsid w:val="00DB1F45"/>
    <w:rsid w:val="00DB4EFC"/>
    <w:rsid w:val="00DB6C13"/>
    <w:rsid w:val="00DB6CC7"/>
    <w:rsid w:val="00DB6EDB"/>
    <w:rsid w:val="00DC6280"/>
    <w:rsid w:val="00DC7631"/>
    <w:rsid w:val="00DD315D"/>
    <w:rsid w:val="00DE6485"/>
    <w:rsid w:val="00DE78CB"/>
    <w:rsid w:val="00DF078F"/>
    <w:rsid w:val="00DF099F"/>
    <w:rsid w:val="00DF1DDB"/>
    <w:rsid w:val="00DF21E6"/>
    <w:rsid w:val="00DF54D7"/>
    <w:rsid w:val="00E009B7"/>
    <w:rsid w:val="00E00E13"/>
    <w:rsid w:val="00E0350E"/>
    <w:rsid w:val="00E03A82"/>
    <w:rsid w:val="00E050F2"/>
    <w:rsid w:val="00E054D3"/>
    <w:rsid w:val="00E0731F"/>
    <w:rsid w:val="00E12BDA"/>
    <w:rsid w:val="00E170AF"/>
    <w:rsid w:val="00E25004"/>
    <w:rsid w:val="00E30539"/>
    <w:rsid w:val="00E32C93"/>
    <w:rsid w:val="00E3341B"/>
    <w:rsid w:val="00E357E3"/>
    <w:rsid w:val="00E35CDE"/>
    <w:rsid w:val="00E36606"/>
    <w:rsid w:val="00E37C2B"/>
    <w:rsid w:val="00E53A15"/>
    <w:rsid w:val="00E53D08"/>
    <w:rsid w:val="00E664B2"/>
    <w:rsid w:val="00E736AE"/>
    <w:rsid w:val="00E73996"/>
    <w:rsid w:val="00E8012E"/>
    <w:rsid w:val="00E81B79"/>
    <w:rsid w:val="00E81C5A"/>
    <w:rsid w:val="00E96669"/>
    <w:rsid w:val="00EA0513"/>
    <w:rsid w:val="00EA33BF"/>
    <w:rsid w:val="00EA3D43"/>
    <w:rsid w:val="00EA6DDB"/>
    <w:rsid w:val="00EA7EB3"/>
    <w:rsid w:val="00EB1CB2"/>
    <w:rsid w:val="00EB32C8"/>
    <w:rsid w:val="00EB65DD"/>
    <w:rsid w:val="00EC28A3"/>
    <w:rsid w:val="00EC4C52"/>
    <w:rsid w:val="00ED7F0E"/>
    <w:rsid w:val="00EE005E"/>
    <w:rsid w:val="00EE3E21"/>
    <w:rsid w:val="00EE594B"/>
    <w:rsid w:val="00EE5B05"/>
    <w:rsid w:val="00EF4CE4"/>
    <w:rsid w:val="00EF7EDC"/>
    <w:rsid w:val="00F019B5"/>
    <w:rsid w:val="00F023BE"/>
    <w:rsid w:val="00F1533D"/>
    <w:rsid w:val="00F244F1"/>
    <w:rsid w:val="00F24B46"/>
    <w:rsid w:val="00F27044"/>
    <w:rsid w:val="00F27E6F"/>
    <w:rsid w:val="00F30B2E"/>
    <w:rsid w:val="00F31E54"/>
    <w:rsid w:val="00F43A75"/>
    <w:rsid w:val="00F44AE1"/>
    <w:rsid w:val="00F50800"/>
    <w:rsid w:val="00F537DA"/>
    <w:rsid w:val="00F5465E"/>
    <w:rsid w:val="00F56736"/>
    <w:rsid w:val="00F576B4"/>
    <w:rsid w:val="00F75544"/>
    <w:rsid w:val="00F9325B"/>
    <w:rsid w:val="00F9728D"/>
    <w:rsid w:val="00FA09DC"/>
    <w:rsid w:val="00FA321C"/>
    <w:rsid w:val="00FA44C2"/>
    <w:rsid w:val="00FA6DEB"/>
    <w:rsid w:val="00FB5281"/>
    <w:rsid w:val="00FB6C7A"/>
    <w:rsid w:val="00FB7EEB"/>
    <w:rsid w:val="00FC0D43"/>
    <w:rsid w:val="00FC2F1B"/>
    <w:rsid w:val="00FC44D7"/>
    <w:rsid w:val="00FD668B"/>
    <w:rsid w:val="00FD737A"/>
    <w:rsid w:val="00FE0E24"/>
    <w:rsid w:val="00FE2C99"/>
    <w:rsid w:val="00FE5FE1"/>
    <w:rsid w:val="00FF0217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8DBBC1-A5DB-49FB-84D2-0ADA78E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2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80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1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801D8"/>
  </w:style>
  <w:style w:type="character" w:styleId="Hipervnculo">
    <w:name w:val="Hyperlink"/>
    <w:basedOn w:val="Fuentedeprrafopredeter"/>
    <w:rsid w:val="009801D8"/>
    <w:rPr>
      <w:rFonts w:ascii="Arial" w:hAnsi="Arial" w:cs="Arial" w:hint="default"/>
      <w:color w:val="0000CC"/>
      <w:u w:val="single"/>
    </w:rPr>
  </w:style>
  <w:style w:type="paragraph" w:styleId="Textoindependiente">
    <w:name w:val="Body Text"/>
    <w:basedOn w:val="Normal"/>
    <w:rsid w:val="00BF2ED1"/>
    <w:pPr>
      <w:spacing w:after="120"/>
    </w:pPr>
  </w:style>
  <w:style w:type="paragraph" w:styleId="Textonotapie">
    <w:name w:val="footnote text"/>
    <w:basedOn w:val="Normal"/>
    <w:semiHidden/>
    <w:rsid w:val="00723AB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23A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778D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778DF"/>
  </w:style>
  <w:style w:type="paragraph" w:styleId="Textodeglobo">
    <w:name w:val="Balloon Text"/>
    <w:basedOn w:val="Normal"/>
    <w:link w:val="TextodegloboCar"/>
    <w:uiPriority w:val="99"/>
    <w:semiHidden/>
    <w:unhideWhenUsed/>
    <w:rsid w:val="00CB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A63"/>
    <w:rPr>
      <w:rFonts w:ascii="Tahoma" w:hAnsi="Tahoma" w:cs="Tahoma"/>
      <w:sz w:val="16"/>
      <w:szCs w:val="16"/>
      <w:lang w:val="es-ES" w:eastAsia="es-ES"/>
    </w:rPr>
  </w:style>
  <w:style w:type="character" w:customStyle="1" w:styleId="hvr">
    <w:name w:val="hvr"/>
    <w:basedOn w:val="Fuentedeprrafopredeter"/>
    <w:rsid w:val="007B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4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5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general:</vt:lpstr>
    </vt:vector>
  </TitlesOfParts>
  <Company>UTP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general:</dc:title>
  <dc:creator>UTP</dc:creator>
  <cp:lastModifiedBy>IMPULZAME</cp:lastModifiedBy>
  <cp:revision>27</cp:revision>
  <cp:lastPrinted>2008-11-24T15:14:00Z</cp:lastPrinted>
  <dcterms:created xsi:type="dcterms:W3CDTF">2020-01-22T17:21:00Z</dcterms:created>
  <dcterms:modified xsi:type="dcterms:W3CDTF">2020-04-27T22:43:00Z</dcterms:modified>
</cp:coreProperties>
</file>